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88"/>
        <w:gridCol w:w="1984"/>
      </w:tblGrid>
      <w:tr w:rsidR="008F0375" w:rsidRPr="001261F8" w14:paraId="25F8C3A1" w14:textId="77777777" w:rsidTr="00CD73DA">
        <w:tc>
          <w:tcPr>
            <w:tcW w:w="7088" w:type="dxa"/>
            <w:tcMar>
              <w:left w:w="0" w:type="dxa"/>
              <w:right w:w="0" w:type="dxa"/>
            </w:tcMar>
          </w:tcPr>
          <w:bookmarkStart w:id="0" w:name="_Hlk129359850"/>
          <w:p w14:paraId="50D7D867" w14:textId="10CEAEB4" w:rsidR="008F0375" w:rsidRPr="001261F8" w:rsidRDefault="00A00818" w:rsidP="001F6F36">
            <w:pPr>
              <w:tabs>
                <w:tab w:val="left" w:pos="567"/>
              </w:tabs>
              <w:spacing w:before="240"/>
              <w:jc w:val="both"/>
              <w:rPr>
                <w:b/>
              </w:rPr>
            </w:pPr>
            <w:r>
              <w:rPr>
                <w:b/>
              </w:rPr>
              <w:fldChar w:fldCharType="begin">
                <w:ffData>
                  <w:name w:val="Text1"/>
                  <w:enabled/>
                  <w:calcOnExit w:val="0"/>
                  <w:textInput>
                    <w:default w:val="Consultancy for cogeneration"/>
                  </w:textInput>
                </w:ffData>
              </w:fldChar>
            </w:r>
            <w:bookmarkStart w:id="1" w:name="Text1"/>
            <w:r>
              <w:rPr>
                <w:b/>
              </w:rPr>
              <w:instrText xml:space="preserve"> FORMTEXT </w:instrText>
            </w:r>
            <w:r>
              <w:rPr>
                <w:b/>
              </w:rPr>
            </w:r>
            <w:r>
              <w:rPr>
                <w:b/>
              </w:rPr>
              <w:fldChar w:fldCharType="separate"/>
            </w:r>
            <w:r>
              <w:rPr>
                <w:b/>
                <w:noProof/>
              </w:rPr>
              <w:t>Consultancy for cogeneration</w:t>
            </w:r>
            <w:r>
              <w:rPr>
                <w:b/>
              </w:rPr>
              <w:fldChar w:fldCharType="end"/>
            </w:r>
            <w:bookmarkEnd w:id="1"/>
          </w:p>
        </w:tc>
        <w:tc>
          <w:tcPr>
            <w:tcW w:w="1984" w:type="dxa"/>
            <w:tcMar>
              <w:left w:w="0" w:type="dxa"/>
              <w:right w:w="0" w:type="dxa"/>
            </w:tcMar>
          </w:tcPr>
          <w:p w14:paraId="0395D5DE" w14:textId="77777777" w:rsidR="008F0375" w:rsidRPr="001261F8" w:rsidRDefault="008F0375" w:rsidP="001F6F36">
            <w:pPr>
              <w:tabs>
                <w:tab w:val="left" w:pos="567"/>
              </w:tabs>
              <w:jc w:val="both"/>
              <w:rPr>
                <w:b/>
              </w:rPr>
            </w:pPr>
            <w:r>
              <w:rPr>
                <w:b/>
              </w:rPr>
              <w:t>Project number/</w:t>
            </w:r>
            <w:r>
              <w:rPr>
                <w:b/>
              </w:rPr>
              <w:br/>
              <w:t>cost centre:</w:t>
            </w:r>
          </w:p>
          <w:p w14:paraId="263A4F16" w14:textId="622F7BB7" w:rsidR="008F0375" w:rsidRPr="001261F8" w:rsidRDefault="002B0AF2" w:rsidP="001F6F36">
            <w:pPr>
              <w:tabs>
                <w:tab w:val="left" w:pos="567"/>
              </w:tabs>
              <w:jc w:val="both"/>
              <w:rPr>
                <w:b/>
              </w:rPr>
            </w:pPr>
            <w:r>
              <w:rPr>
                <w:b/>
              </w:rPr>
              <w:fldChar w:fldCharType="begin">
                <w:ffData>
                  <w:name w:val="Text2"/>
                  <w:enabled/>
                  <w:calcOnExit w:val="0"/>
                  <w:textInput>
                    <w:default w:val="19.1813.5-010.00"/>
                  </w:textInput>
                </w:ffData>
              </w:fldChar>
            </w:r>
            <w:bookmarkStart w:id="2" w:name="Text2"/>
            <w:r>
              <w:rPr>
                <w:b/>
              </w:rPr>
              <w:instrText xml:space="preserve"> FORMTEXT </w:instrText>
            </w:r>
            <w:r>
              <w:rPr>
                <w:b/>
              </w:rPr>
            </w:r>
            <w:r>
              <w:rPr>
                <w:b/>
              </w:rPr>
              <w:fldChar w:fldCharType="separate"/>
            </w:r>
            <w:r>
              <w:rPr>
                <w:b/>
                <w:noProof/>
              </w:rPr>
              <w:t>19.1813.5-010.00</w:t>
            </w:r>
            <w:r>
              <w:rPr>
                <w:b/>
              </w:rPr>
              <w:fldChar w:fldCharType="end"/>
            </w:r>
            <w:bookmarkEnd w:id="2"/>
          </w:p>
        </w:tc>
      </w:tr>
    </w:tbl>
    <w:p w14:paraId="77444CE9" w14:textId="6E5D0405" w:rsidR="00CA4C50" w:rsidRDefault="00CA4C50" w:rsidP="001F6F36">
      <w:pPr>
        <w:jc w:val="both"/>
        <w:rPr>
          <w:b/>
          <w:bCs/>
        </w:rPr>
      </w:pPr>
      <w:bookmarkStart w:id="3" w:name="_Toc508619994"/>
      <w:bookmarkStart w:id="4" w:name="_Toc119493820"/>
      <w:bookmarkStart w:id="5" w:name="_Toc127948108"/>
      <w:bookmarkStart w:id="6" w:name="_Hlk129359869"/>
      <w:bookmarkEnd w:id="0"/>
    </w:p>
    <w:p w14:paraId="01703825" w14:textId="3079EC69" w:rsidR="00620D98" w:rsidRDefault="00620D98" w:rsidP="001F6F36">
      <w:pPr>
        <w:jc w:val="both"/>
        <w:rPr>
          <w:b/>
          <w:bCs/>
        </w:rPr>
      </w:pPr>
      <w:r>
        <w:rPr>
          <w:b/>
          <w:bCs/>
        </w:rPr>
        <w:t xml:space="preserve">Terms of reference </w:t>
      </w:r>
    </w:p>
    <w:p w14:paraId="183569AC" w14:textId="77777777" w:rsidR="00980892" w:rsidRPr="00980892" w:rsidRDefault="008F0375" w:rsidP="00696913">
      <w:pPr>
        <w:pStyle w:val="ListParagraph"/>
        <w:numPr>
          <w:ilvl w:val="0"/>
          <w:numId w:val="5"/>
        </w:numPr>
        <w:tabs>
          <w:tab w:val="left" w:pos="284"/>
        </w:tabs>
        <w:ind w:left="1701" w:hanging="1701"/>
        <w:jc w:val="both"/>
      </w:pPr>
      <w:r w:rsidRPr="00980892">
        <w:rPr>
          <w:b/>
          <w:bCs/>
        </w:rPr>
        <w:t>List of abbreviations</w:t>
      </w:r>
      <w:bookmarkEnd w:id="3"/>
      <w:bookmarkEnd w:id="4"/>
      <w:bookmarkEnd w:id="5"/>
      <w:r w:rsidR="00931BA3" w:rsidRPr="00980892">
        <w:rPr>
          <w:b/>
          <w:bCs/>
        </w:rPr>
        <w:t xml:space="preserve"> </w:t>
      </w:r>
    </w:p>
    <w:p w14:paraId="4D647677" w14:textId="0A9F315D" w:rsidR="008F0375" w:rsidRPr="001261F8" w:rsidRDefault="008F0375" w:rsidP="00980892">
      <w:pPr>
        <w:tabs>
          <w:tab w:val="left" w:pos="284"/>
        </w:tabs>
        <w:jc w:val="both"/>
      </w:pPr>
      <w:r>
        <w:t>AG</w:t>
      </w:r>
      <w:r>
        <w:tab/>
        <w:t>Commissioning party</w:t>
      </w:r>
    </w:p>
    <w:p w14:paraId="2221A4C0" w14:textId="77777777" w:rsidR="008F0375" w:rsidRPr="001261F8" w:rsidRDefault="008F0375" w:rsidP="001F6F36">
      <w:pPr>
        <w:ind w:left="1701" w:hanging="1701"/>
        <w:jc w:val="both"/>
      </w:pPr>
      <w:r>
        <w:t>AN</w:t>
      </w:r>
      <w:r>
        <w:tab/>
        <w:t>Contractor</w:t>
      </w:r>
    </w:p>
    <w:p w14:paraId="7FBA1457" w14:textId="182C7F65" w:rsidR="008F0375" w:rsidRPr="001261F8" w:rsidRDefault="008F0375" w:rsidP="1A754C66">
      <w:pPr>
        <w:ind w:left="1701" w:hanging="1701"/>
        <w:jc w:val="both"/>
        <w:rPr>
          <w:rFonts w:eastAsia="Arial" w:cs="Arial"/>
        </w:rPr>
      </w:pPr>
      <w:r>
        <w:t>AVB</w:t>
      </w:r>
      <w:r>
        <w:tab/>
      </w:r>
      <w:r w:rsidR="1DAE1A2D" w:rsidRPr="1A754C66">
        <w:rPr>
          <w:rFonts w:eastAsia="Arial" w:cs="Arial"/>
        </w:rPr>
        <w:t>General terms and conditions of contract (‘local terms and conditions’) for supplying services and work on behalf of the Deutsche Gesellschaft für Internationale Zusammenarbeit (GIZ) GmbH in Ukraine</w:t>
      </w:r>
    </w:p>
    <w:p w14:paraId="20AB4F75" w14:textId="77777777" w:rsidR="008F0375" w:rsidRPr="00C2781B" w:rsidRDefault="008F0375" w:rsidP="001F6F36">
      <w:pPr>
        <w:ind w:left="1701" w:hanging="1701"/>
        <w:jc w:val="both"/>
      </w:pPr>
      <w:r>
        <w:t>FK</w:t>
      </w:r>
      <w:r>
        <w:tab/>
        <w:t>Expert</w:t>
      </w:r>
    </w:p>
    <w:p w14:paraId="67140D19" w14:textId="77777777" w:rsidR="008F0375" w:rsidRDefault="008F0375" w:rsidP="001F6F36">
      <w:pPr>
        <w:ind w:left="1701" w:hanging="1701"/>
        <w:jc w:val="both"/>
      </w:pPr>
      <w:r>
        <w:t>FKT</w:t>
      </w:r>
      <w:r>
        <w:tab/>
        <w:t>Expert days</w:t>
      </w:r>
    </w:p>
    <w:p w14:paraId="074770DF" w14:textId="77777777" w:rsidR="008F0375" w:rsidRPr="00B707EA" w:rsidRDefault="008F0375" w:rsidP="001F6F36">
      <w:pPr>
        <w:ind w:left="1701" w:hanging="1701"/>
        <w:jc w:val="both"/>
      </w:pPr>
      <w:r>
        <w:t>KZFK</w:t>
      </w:r>
      <w:r>
        <w:tab/>
        <w:t>Short-term expert</w:t>
      </w:r>
    </w:p>
    <w:p w14:paraId="5AC1C6FE" w14:textId="77777777" w:rsidR="008F0375" w:rsidRPr="002A43F0" w:rsidRDefault="008F0375" w:rsidP="001F6F36">
      <w:pPr>
        <w:ind w:left="1701" w:hanging="1701"/>
        <w:jc w:val="both"/>
      </w:pPr>
      <w:r>
        <w:t>ToRs</w:t>
      </w:r>
      <w:r>
        <w:tab/>
        <w:t>Terms of reference</w:t>
      </w:r>
    </w:p>
    <w:bookmarkEnd w:id="6"/>
    <w:p w14:paraId="56FBF003" w14:textId="77777777" w:rsidR="008F0375" w:rsidRPr="002A43F0" w:rsidRDefault="008F0375" w:rsidP="001F6F36">
      <w:pPr>
        <w:spacing w:line="259" w:lineRule="auto"/>
        <w:jc w:val="both"/>
      </w:pPr>
      <w:r>
        <w:br w:type="page"/>
      </w:r>
    </w:p>
    <w:p w14:paraId="046FC816" w14:textId="2D597723" w:rsidR="008F0375" w:rsidRPr="00A460FE" w:rsidRDefault="008F0375" w:rsidP="00696913">
      <w:pPr>
        <w:pStyle w:val="ListParagraph"/>
        <w:numPr>
          <w:ilvl w:val="0"/>
          <w:numId w:val="5"/>
        </w:numPr>
        <w:tabs>
          <w:tab w:val="left" w:pos="284"/>
        </w:tabs>
        <w:ind w:left="0" w:firstLine="0"/>
        <w:jc w:val="both"/>
        <w:rPr>
          <w:b/>
        </w:rPr>
      </w:pPr>
      <w:bookmarkStart w:id="7" w:name="_Ref508121651"/>
      <w:bookmarkStart w:id="8" w:name="_Ref508121655"/>
      <w:bookmarkStart w:id="9" w:name="_Toc508619995"/>
      <w:bookmarkStart w:id="10" w:name="_Toc119493821"/>
      <w:bookmarkStart w:id="11" w:name="_Toc127948109"/>
      <w:r w:rsidRPr="00A460FE">
        <w:rPr>
          <w:b/>
        </w:rPr>
        <w:lastRenderedPageBreak/>
        <w:t>Context</w:t>
      </w:r>
      <w:bookmarkEnd w:id="7"/>
      <w:bookmarkEnd w:id="8"/>
      <w:bookmarkEnd w:id="9"/>
      <w:bookmarkEnd w:id="10"/>
      <w:bookmarkEnd w:id="11"/>
    </w:p>
    <w:p w14:paraId="40E65CFB" w14:textId="77777777" w:rsidR="00980892" w:rsidRPr="00865DB0" w:rsidRDefault="00980892" w:rsidP="00980892">
      <w:pPr>
        <w:jc w:val="both"/>
        <w:rPr>
          <w:iCs/>
        </w:rPr>
      </w:pPr>
      <w:bookmarkStart w:id="12" w:name="_Hlk156138054"/>
      <w:r w:rsidRPr="00865DB0">
        <w:rPr>
          <w:iCs/>
        </w:rPr>
        <w:t>The project "Strengthening Communities in War-Affected Communities in Ukraine through Localised Action ("EMPOWER") aims to strengthen the resilience of communities and vulnerable groups in Ukraine that have been particularly affected by war. The project is funded by the German Federal Ministry for Economic Cooperation and Development (BMZ) and co-financed by the Directorate-General for European Civil Protection and Humanitarian Aid Operations (DG ECHO). Activities to support vulnerable population groups in eleven regions (Sumy, Kharkiv, Dnipropetrovsk, Zaporizhzhia, Kherson, Mykolaiv, Poltava, Odesa, Lvivska, Kyivska, Ivano-Frankivska) in the areas of health, protection (including psychosocial support), education in emergencies and shelter / non-food items are supported by more than 50 local implementing partners. The project follows the strategic approach of localisation by supporting local actors in supporting the most urgent needs of the population and ensuring a comprehensive strengthening of the capacities of local partner organisations. The project works along the Humanitarian-Development-Peace (HDP) Nexus. EMPOWER aims to support the delivery of essential services in a difficult humanitarian context by strengthening local partners and promoting the resilience of local communities. Due to the difficult framework conditions in Ukraine, the strategic importance of the project and the complex management structure with international and national colleagues working in different locations and remotely, the involvement of external expertise on specific topics is necessary.</w:t>
      </w:r>
    </w:p>
    <w:p w14:paraId="239C09E1" w14:textId="359C1BE1" w:rsidR="00980892" w:rsidRPr="00865DB0" w:rsidRDefault="00980892" w:rsidP="00980892">
      <w:pPr>
        <w:jc w:val="both"/>
        <w:rPr>
          <w:iCs/>
        </w:rPr>
      </w:pPr>
      <w:r w:rsidRPr="00865DB0">
        <w:rPr>
          <w:iCs/>
        </w:rPr>
        <w:t>The ongoing conflict in Ukraine has led to significant challenges, particularly in the most affected regions in East and South Ukraine. These areas are facing a significant increase in the need for emergency aid, which has also spurred the creation of new local NGOs to address these urgent needs. Vulnerable populations, including internally displaced persons (IDPs), women, children, elderly, and persons with disabilities, are particularly in need of assistance. It is crucial to provide targeted and comprehensive support to address their specific needs and ensure their safety and well-being.</w:t>
      </w:r>
    </w:p>
    <w:p w14:paraId="4556A3F5" w14:textId="77777777" w:rsidR="00980892" w:rsidRPr="00865DB0" w:rsidRDefault="00980892" w:rsidP="00980892">
      <w:pPr>
        <w:jc w:val="both"/>
        <w:rPr>
          <w:iCs/>
        </w:rPr>
      </w:pPr>
      <w:r w:rsidRPr="00865DB0">
        <w:rPr>
          <w:iCs/>
        </w:rPr>
        <w:t xml:space="preserve">The EMPOWER project is designed to mitigate these challenges by providing targeted support to vulnerable communities, supporting the delivery of basic services. It targets the most vulnerable groups of the population such as IDPs, women, children, elderly, veterans and persons with disabilities in these areas and additionally aims at fostering community participation and strengthening local capacities. GIZ is committed to involving local partners in all stages of implementation and project planning to foster ownership and sustainability. </w:t>
      </w:r>
    </w:p>
    <w:p w14:paraId="50923552" w14:textId="30996009" w:rsidR="00980892" w:rsidRPr="00865DB0" w:rsidRDefault="00980892" w:rsidP="00980892">
      <w:pPr>
        <w:jc w:val="both"/>
        <w:rPr>
          <w:iCs/>
        </w:rPr>
      </w:pPr>
      <w:r w:rsidRPr="00865DB0">
        <w:rPr>
          <w:iCs/>
        </w:rPr>
        <w:t xml:space="preserve">GIZ </w:t>
      </w:r>
      <w:r w:rsidR="00865DB0" w:rsidRPr="00865DB0">
        <w:rPr>
          <w:iCs/>
        </w:rPr>
        <w:t xml:space="preserve">is </w:t>
      </w:r>
      <w:r w:rsidRPr="00865DB0">
        <w:rPr>
          <w:iCs/>
        </w:rPr>
        <w:t>procur</w:t>
      </w:r>
      <w:r w:rsidR="00865DB0" w:rsidRPr="00865DB0">
        <w:rPr>
          <w:iCs/>
        </w:rPr>
        <w:t>ing</w:t>
      </w:r>
      <w:r w:rsidRPr="00865DB0">
        <w:rPr>
          <w:iCs/>
        </w:rPr>
        <w:t xml:space="preserve"> </w:t>
      </w:r>
      <w:r w:rsidR="00865DB0" w:rsidRPr="00865DB0">
        <w:rPr>
          <w:iCs/>
        </w:rPr>
        <w:t>lot of</w:t>
      </w:r>
      <w:r w:rsidRPr="00865DB0">
        <w:rPr>
          <w:iCs/>
        </w:rPr>
        <w:t xml:space="preserve"> cogeneration (CHP) units for energy and heat generation for Ukrainian partner municipalities and instructions </w:t>
      </w:r>
      <w:r w:rsidR="00865DB0" w:rsidRPr="00865DB0">
        <w:rPr>
          <w:iCs/>
        </w:rPr>
        <w:t xml:space="preserve">in frame of </w:t>
      </w:r>
      <w:r w:rsidRPr="00865DB0">
        <w:rPr>
          <w:iCs/>
        </w:rPr>
        <w:t xml:space="preserve">initiative for heating season 2026 which was given to provide support to Ukraine after massive russian’s missile attacks on Ukrainian energy and gas systems. Procurement of </w:t>
      </w:r>
      <w:r w:rsidR="00865DB0" w:rsidRPr="00865DB0">
        <w:rPr>
          <w:iCs/>
        </w:rPr>
        <w:t xml:space="preserve">cogeneration (CHP) units </w:t>
      </w:r>
      <w:r w:rsidRPr="00865DB0">
        <w:rPr>
          <w:iCs/>
        </w:rPr>
        <w:t xml:space="preserve">helps Ukrainian Partner’s communities to pass heating season 2026. </w:t>
      </w:r>
    </w:p>
    <w:p w14:paraId="27402B8A" w14:textId="6232FC0B" w:rsidR="00980892" w:rsidRPr="00865DB0" w:rsidRDefault="00980892" w:rsidP="00980892">
      <w:pPr>
        <w:jc w:val="both"/>
        <w:rPr>
          <w:iCs/>
        </w:rPr>
      </w:pPr>
      <w:r w:rsidRPr="00865DB0">
        <w:rPr>
          <w:iCs/>
        </w:rPr>
        <w:t xml:space="preserve">All procurements will be carried out from Germany and delivered to the recipient in Ukraine. The capacity of the CHP units is between 0.5 and 2.3 MW with a Voltage of 400 V and are to be delivered to the recipient. The support is focused on container-based turnkey systems (plug &amp; play) and covers only the procurement of </w:t>
      </w:r>
      <w:r w:rsidR="00865DB0">
        <w:rPr>
          <w:iCs/>
        </w:rPr>
        <w:t>u</w:t>
      </w:r>
      <w:r w:rsidRPr="00865DB0">
        <w:rPr>
          <w:iCs/>
        </w:rPr>
        <w:t>nits</w:t>
      </w:r>
      <w:r w:rsidR="00865DB0">
        <w:rPr>
          <w:iCs/>
        </w:rPr>
        <w:t>.</w:t>
      </w:r>
    </w:p>
    <w:p w14:paraId="34FB2810" w14:textId="58120672" w:rsidR="00F25828" w:rsidRPr="00F25828" w:rsidRDefault="00865DB0" w:rsidP="00F25828">
      <w:pPr>
        <w:jc w:val="both"/>
        <w:rPr>
          <w:iCs/>
        </w:rPr>
      </w:pPr>
      <w:r w:rsidRPr="00865DB0">
        <w:rPr>
          <w:iCs/>
        </w:rPr>
        <w:t>The EMPOWER project</w:t>
      </w:r>
      <w:r>
        <w:rPr>
          <w:iCs/>
        </w:rPr>
        <w:t xml:space="preserve"> has to select reliable partners who can do installation and commissioning since October 2026. That’s why project need technical support of proper partner’s selection.</w:t>
      </w:r>
      <w:r w:rsidR="00F25828" w:rsidRPr="00F25828">
        <w:t xml:space="preserve"> </w:t>
      </w:r>
      <w:r w:rsidR="00F25828" w:rsidRPr="00F25828">
        <w:rPr>
          <w:iCs/>
        </w:rPr>
        <w:t xml:space="preserve">The criteria for selection are not only the need for support but also the financial and technical capabilities of the recipients. </w:t>
      </w:r>
    </w:p>
    <w:p w14:paraId="223CB7C5" w14:textId="77777777" w:rsidR="00F25828" w:rsidRPr="00F25828" w:rsidRDefault="00F25828" w:rsidP="00F25828">
      <w:pPr>
        <w:jc w:val="both"/>
        <w:rPr>
          <w:iCs/>
        </w:rPr>
      </w:pPr>
      <w:r w:rsidRPr="00F25828">
        <w:rPr>
          <w:iCs/>
        </w:rPr>
        <w:t>The recipient must be able to carry out all the necessary design and installation work at their own expense, as well as able to obtain the necessary permits and contracts for the use of gas and the supply of electricity to the public network with the relevant utility companies.</w:t>
      </w:r>
    </w:p>
    <w:p w14:paraId="0E62BEC3" w14:textId="77777777" w:rsidR="00F25828" w:rsidRPr="00F25828" w:rsidRDefault="00F25828" w:rsidP="00F25828">
      <w:pPr>
        <w:jc w:val="both"/>
        <w:rPr>
          <w:iCs/>
        </w:rPr>
      </w:pPr>
      <w:r w:rsidRPr="00F25828">
        <w:rPr>
          <w:iCs/>
        </w:rPr>
        <w:lastRenderedPageBreak/>
        <w:t>To support this, GIZ intends to undertake further procurement for the recipient for goods that are directly required for the installation of the CHP units or are included in the recipient's procurement plan for 2026 to generate the costs for the design and installation of the CHP units via this compensation approach.</w:t>
      </w:r>
    </w:p>
    <w:p w14:paraId="7D3CE92C" w14:textId="77777777" w:rsidR="00F25828" w:rsidRPr="00F25828" w:rsidRDefault="00F25828" w:rsidP="00F25828">
      <w:pPr>
        <w:jc w:val="both"/>
        <w:rPr>
          <w:iCs/>
        </w:rPr>
      </w:pPr>
      <w:r w:rsidRPr="00F25828">
        <w:rPr>
          <w:iCs/>
        </w:rPr>
        <w:t>GIZ plans to add on each cogeneration unit a procurement package of up to 2.500.000 UAH for goods and materials.</w:t>
      </w:r>
    </w:p>
    <w:p w14:paraId="24CA2EE1" w14:textId="77777777" w:rsidR="00F25828" w:rsidRPr="00F25828" w:rsidRDefault="00F25828" w:rsidP="00F25828">
      <w:pPr>
        <w:jc w:val="both"/>
        <w:rPr>
          <w:iCs/>
        </w:rPr>
      </w:pPr>
      <w:r w:rsidRPr="00F25828">
        <w:rPr>
          <w:iCs/>
        </w:rPr>
        <w:t xml:space="preserve">It is planned to install in several selected locations more than only one unit of cogeneration unit, to increase the resilience of new system configuration in the event of a device failure or due to required maintenance work. </w:t>
      </w:r>
    </w:p>
    <w:p w14:paraId="644302D9" w14:textId="7B7524CF" w:rsidR="00A66046" w:rsidRPr="00865DB0" w:rsidRDefault="00F25828" w:rsidP="00F25828">
      <w:pPr>
        <w:jc w:val="both"/>
        <w:rPr>
          <w:iCs/>
        </w:rPr>
      </w:pPr>
      <w:r w:rsidRPr="00F25828">
        <w:rPr>
          <w:iCs/>
        </w:rPr>
        <w:t>In normal operating conditions both units should serve the partner with required electricity or heating power.</w:t>
      </w:r>
    </w:p>
    <w:p w14:paraId="2FAA2518" w14:textId="4FF24D1A" w:rsidR="00E35F1E" w:rsidRDefault="008F0375" w:rsidP="00696913">
      <w:pPr>
        <w:pStyle w:val="ListParagraph"/>
        <w:numPr>
          <w:ilvl w:val="0"/>
          <w:numId w:val="5"/>
        </w:numPr>
        <w:tabs>
          <w:tab w:val="left" w:pos="284"/>
        </w:tabs>
        <w:ind w:left="0" w:firstLine="0"/>
        <w:jc w:val="both"/>
        <w:rPr>
          <w:b/>
        </w:rPr>
      </w:pPr>
      <w:bookmarkStart w:id="13" w:name="_Hlk119490425"/>
      <w:bookmarkStart w:id="14" w:name="_Ref508121704"/>
      <w:bookmarkStart w:id="15" w:name="_Ref508121798"/>
      <w:bookmarkStart w:id="16" w:name="_Ref508122104"/>
      <w:bookmarkStart w:id="17" w:name="_Ref508122514"/>
      <w:bookmarkStart w:id="18" w:name="_Ref508122551"/>
      <w:bookmarkStart w:id="19" w:name="_Ref508122617"/>
      <w:bookmarkStart w:id="20" w:name="_Toc508619996"/>
      <w:bookmarkStart w:id="21" w:name="_Toc119493822"/>
      <w:bookmarkStart w:id="22" w:name="_Toc127948110"/>
      <w:bookmarkEnd w:id="12"/>
      <w:r w:rsidRPr="00A460FE">
        <w:rPr>
          <w:b/>
        </w:rPr>
        <w:t>Tasks to be performed by the contractor</w:t>
      </w:r>
      <w:bookmarkEnd w:id="13"/>
      <w:bookmarkEnd w:id="14"/>
      <w:bookmarkEnd w:id="15"/>
      <w:bookmarkEnd w:id="16"/>
      <w:bookmarkEnd w:id="17"/>
      <w:bookmarkEnd w:id="18"/>
      <w:bookmarkEnd w:id="19"/>
      <w:bookmarkEnd w:id="20"/>
      <w:bookmarkEnd w:id="21"/>
      <w:bookmarkEnd w:id="22"/>
    </w:p>
    <w:p w14:paraId="7E3F01C5" w14:textId="362F531B" w:rsidR="00977254" w:rsidRPr="00A66046" w:rsidRDefault="00977254" w:rsidP="00696913">
      <w:pPr>
        <w:pStyle w:val="ListParagraph"/>
        <w:numPr>
          <w:ilvl w:val="1"/>
          <w:numId w:val="5"/>
        </w:numPr>
        <w:tabs>
          <w:tab w:val="left" w:pos="284"/>
        </w:tabs>
        <w:jc w:val="both"/>
        <w:rPr>
          <w:b/>
          <w:lang w:val="en-US"/>
        </w:rPr>
      </w:pPr>
      <w:r>
        <w:rPr>
          <w:b/>
          <w:lang w:val="en-US"/>
        </w:rPr>
        <w:t>T</w:t>
      </w:r>
      <w:r w:rsidR="00984404">
        <w:rPr>
          <w:b/>
          <w:lang w:val="en-US"/>
        </w:rPr>
        <w:t>asks</w:t>
      </w:r>
    </w:p>
    <w:p w14:paraId="226E5B51" w14:textId="7B18703F" w:rsidR="00771BA7" w:rsidRDefault="00771BA7" w:rsidP="00771BA7">
      <w:pPr>
        <w:pStyle w:val="ZulschenderText"/>
        <w:jc w:val="both"/>
        <w:rPr>
          <w:i w:val="0"/>
          <w:iCs/>
          <w:color w:val="auto"/>
          <w:lang w:val="uk-UA"/>
        </w:rPr>
      </w:pPr>
      <w:bookmarkStart w:id="23" w:name="_Ref508122887"/>
      <w:bookmarkStart w:id="24" w:name="_Ref508122898"/>
      <w:bookmarkStart w:id="25" w:name="_Ref508122909"/>
      <w:bookmarkStart w:id="26" w:name="_Toc508619997"/>
      <w:bookmarkStart w:id="27" w:name="_Ref515637130"/>
      <w:bookmarkStart w:id="28" w:name="_Toc119493823"/>
      <w:bookmarkStart w:id="29" w:name="_Ref516123857"/>
      <w:bookmarkStart w:id="30" w:name="_Toc127948111"/>
      <w:r w:rsidRPr="00511C65">
        <w:rPr>
          <w:i w:val="0"/>
          <w:iCs/>
          <w:color w:val="auto"/>
          <w:lang w:val="uk-UA"/>
        </w:rPr>
        <w:t xml:space="preserve">The provision of services under the tender is divided into </w:t>
      </w:r>
      <w:r>
        <w:rPr>
          <w:i w:val="0"/>
          <w:iCs/>
          <w:color w:val="auto"/>
          <w:lang w:val="uk-UA"/>
        </w:rPr>
        <w:t>4</w:t>
      </w:r>
      <w:r w:rsidRPr="00511C65">
        <w:rPr>
          <w:i w:val="0"/>
          <w:iCs/>
          <w:color w:val="auto"/>
          <w:lang w:val="uk-UA"/>
        </w:rPr>
        <w:t xml:space="preserve"> LOTs with same scope of works for contractors. The difference is the Contractors will work with different Partner communities (different cities)</w:t>
      </w:r>
      <w:r>
        <w:rPr>
          <w:i w:val="0"/>
          <w:iCs/>
          <w:color w:val="auto"/>
          <w:lang w:val="en-US"/>
        </w:rPr>
        <w:t>.</w:t>
      </w:r>
    </w:p>
    <w:p w14:paraId="3E8D9CFB" w14:textId="77777777" w:rsidR="00E01E7A" w:rsidRPr="00757BB9" w:rsidRDefault="00E01E7A" w:rsidP="00757BB9">
      <w:pPr>
        <w:pStyle w:val="ZulschenderText"/>
        <w:spacing w:after="0"/>
        <w:jc w:val="both"/>
        <w:rPr>
          <w:b/>
          <w:bCs/>
          <w:i w:val="0"/>
          <w:color w:val="auto"/>
          <w:lang w:val="en-US"/>
        </w:rPr>
      </w:pPr>
      <w:r w:rsidRPr="00757BB9">
        <w:rPr>
          <w:b/>
          <w:bCs/>
          <w:i w:val="0"/>
          <w:color w:val="auto"/>
          <w:lang w:val="en-US"/>
        </w:rPr>
        <w:t>Tenderers are asked to submit for one or more location(s) – LOT(s) - in separate. With the intention to have as much as possible contractors involved, GIZ limits the awarding for each tenderer to one LOT only. Only in case of not enough tenderers in one of the listed locations, the tender is awarded with more than one LOT on the condition he has applied for it. </w:t>
      </w:r>
    </w:p>
    <w:p w14:paraId="3E10947C" w14:textId="59CC1F6D" w:rsidR="00E01E7A" w:rsidRPr="00757BB9" w:rsidRDefault="00E01E7A" w:rsidP="00E01E7A">
      <w:pPr>
        <w:pStyle w:val="ZulschenderText"/>
        <w:jc w:val="both"/>
        <w:rPr>
          <w:b/>
          <w:bCs/>
          <w:i w:val="0"/>
          <w:color w:val="auto"/>
          <w:lang w:val="uk-UA"/>
        </w:rPr>
      </w:pPr>
      <w:r w:rsidRPr="00E01E7A">
        <w:rPr>
          <w:b/>
          <w:bCs/>
          <w:i w:val="0"/>
          <w:color w:val="auto"/>
          <w:lang w:val="en-US"/>
        </w:rPr>
        <w:t>In case the tenderer is rated in more than one LOT with the highest score, GIZ awards taking into consideration the spread to the subsequent tenderer. </w:t>
      </w:r>
    </w:p>
    <w:tbl>
      <w:tblPr>
        <w:tblStyle w:val="TableGrid"/>
        <w:tblW w:w="0" w:type="auto"/>
        <w:tblLook w:val="04A0" w:firstRow="1" w:lastRow="0" w:firstColumn="1" w:lastColumn="0" w:noHBand="0" w:noVBand="1"/>
      </w:tblPr>
      <w:tblGrid>
        <w:gridCol w:w="1555"/>
        <w:gridCol w:w="7505"/>
      </w:tblGrid>
      <w:tr w:rsidR="00771BA7" w:rsidRPr="00307085" w14:paraId="0C68BF8A" w14:textId="77777777" w:rsidTr="0006067E">
        <w:trPr>
          <w:trHeight w:val="369"/>
        </w:trPr>
        <w:tc>
          <w:tcPr>
            <w:tcW w:w="1555" w:type="dxa"/>
          </w:tcPr>
          <w:p w14:paraId="7EB20345" w14:textId="4676FF62" w:rsidR="00771BA7" w:rsidRPr="00757BB9" w:rsidRDefault="00771BA7" w:rsidP="00CD39C0">
            <w:pPr>
              <w:jc w:val="center"/>
              <w:rPr>
                <w:rFonts w:cs="Arial"/>
                <w:b/>
                <w:lang w:val="uk-UA"/>
              </w:rPr>
            </w:pPr>
            <w:r w:rsidRPr="00307085">
              <w:rPr>
                <w:rFonts w:cs="Arial"/>
                <w:b/>
              </w:rPr>
              <w:t>LOT Nb</w:t>
            </w:r>
          </w:p>
        </w:tc>
        <w:tc>
          <w:tcPr>
            <w:tcW w:w="7505" w:type="dxa"/>
          </w:tcPr>
          <w:p w14:paraId="0E346DE6" w14:textId="345C0D4D" w:rsidR="00771BA7" w:rsidRPr="00757BB9" w:rsidRDefault="00771BA7" w:rsidP="00CD39C0">
            <w:pPr>
              <w:jc w:val="center"/>
              <w:rPr>
                <w:rFonts w:cs="Arial"/>
                <w:b/>
                <w:lang w:val="en-US"/>
              </w:rPr>
            </w:pPr>
            <w:r w:rsidRPr="00307085">
              <w:rPr>
                <w:rFonts w:cs="Arial"/>
                <w:b/>
              </w:rPr>
              <w:t>Location</w:t>
            </w:r>
            <w:r w:rsidR="008525ED">
              <w:rPr>
                <w:rFonts w:cs="Arial"/>
                <w:b/>
                <w:lang w:val="uk-UA"/>
              </w:rPr>
              <w:t xml:space="preserve"> (</w:t>
            </w:r>
            <w:r w:rsidR="008525ED">
              <w:rPr>
                <w:rFonts w:cs="Arial"/>
                <w:b/>
                <w:lang w:val="en-US"/>
              </w:rPr>
              <w:t>government-controlled area of Ukraine)</w:t>
            </w:r>
          </w:p>
        </w:tc>
      </w:tr>
      <w:tr w:rsidR="00771BA7" w:rsidRPr="00307085" w14:paraId="1A148398" w14:textId="77777777" w:rsidTr="0006067E">
        <w:trPr>
          <w:trHeight w:val="209"/>
        </w:trPr>
        <w:tc>
          <w:tcPr>
            <w:tcW w:w="1555" w:type="dxa"/>
          </w:tcPr>
          <w:p w14:paraId="2988C057" w14:textId="7F08CF2E" w:rsidR="00771BA7" w:rsidRPr="00307085" w:rsidRDefault="00771BA7" w:rsidP="00CD39C0">
            <w:pPr>
              <w:jc w:val="both"/>
              <w:rPr>
                <w:rFonts w:cs="Arial"/>
                <w:bCs/>
              </w:rPr>
            </w:pPr>
            <w:r w:rsidRPr="00307085">
              <w:rPr>
                <w:rFonts w:cs="Arial"/>
                <w:bCs/>
              </w:rPr>
              <w:t>LOT 1</w:t>
            </w:r>
            <w:r w:rsidR="0006067E" w:rsidRPr="00307085">
              <w:rPr>
                <w:rFonts w:cs="Arial"/>
                <w:bCs/>
              </w:rPr>
              <w:t xml:space="preserve"> </w:t>
            </w:r>
          </w:p>
        </w:tc>
        <w:tc>
          <w:tcPr>
            <w:tcW w:w="7505" w:type="dxa"/>
          </w:tcPr>
          <w:p w14:paraId="7E478DB6" w14:textId="7BF2F75F" w:rsidR="00771BA7" w:rsidRPr="00307085" w:rsidRDefault="00947AD8" w:rsidP="00CD39C0">
            <w:pPr>
              <w:jc w:val="both"/>
              <w:rPr>
                <w:rFonts w:cs="Arial"/>
                <w:bCs/>
                <w:lang w:val="en-US"/>
              </w:rPr>
            </w:pPr>
            <w:r w:rsidRPr="00307085">
              <w:rPr>
                <w:rFonts w:cs="Arial"/>
                <w:bCs/>
              </w:rPr>
              <w:t>U</w:t>
            </w:r>
            <w:r w:rsidRPr="00307085">
              <w:t xml:space="preserve">p to </w:t>
            </w:r>
            <w:r w:rsidR="00307085" w:rsidRPr="00307085">
              <w:t>10</w:t>
            </w:r>
            <w:r w:rsidRPr="00307085">
              <w:t xml:space="preserve"> </w:t>
            </w:r>
            <w:r w:rsidR="00D102C4" w:rsidRPr="00307085">
              <w:t>communiti</w:t>
            </w:r>
            <w:r w:rsidR="001E3864" w:rsidRPr="00307085">
              <w:t>es</w:t>
            </w:r>
            <w:r w:rsidRPr="00307085">
              <w:t xml:space="preserve"> from: </w:t>
            </w:r>
            <w:r w:rsidR="00D51FBB" w:rsidRPr="00307085">
              <w:rPr>
                <w:rFonts w:cs="Arial"/>
                <w:bCs/>
              </w:rPr>
              <w:t>Lviv,</w:t>
            </w:r>
            <w:r w:rsidR="008A19DD" w:rsidRPr="00307085">
              <w:rPr>
                <w:rFonts w:cs="Arial"/>
                <w:bCs/>
                <w:lang w:val="uk-UA"/>
              </w:rPr>
              <w:t xml:space="preserve"> </w:t>
            </w:r>
            <w:r w:rsidR="009D3231" w:rsidRPr="00307085">
              <w:t>Vinnytsia</w:t>
            </w:r>
            <w:r w:rsidR="00307085" w:rsidRPr="00307085">
              <w:t>, Rivne</w:t>
            </w:r>
            <w:r w:rsidR="00A15CB1" w:rsidRPr="00307085">
              <w:t xml:space="preserve"> regions</w:t>
            </w:r>
          </w:p>
        </w:tc>
      </w:tr>
      <w:tr w:rsidR="00771BA7" w:rsidRPr="00307085" w14:paraId="609FA3C2" w14:textId="77777777" w:rsidTr="0006067E">
        <w:tc>
          <w:tcPr>
            <w:tcW w:w="1555" w:type="dxa"/>
          </w:tcPr>
          <w:p w14:paraId="20091717" w14:textId="1001160B" w:rsidR="00771BA7" w:rsidRPr="00307085" w:rsidRDefault="00771BA7" w:rsidP="00CD39C0">
            <w:pPr>
              <w:rPr>
                <w:rFonts w:cs="Arial"/>
                <w:bCs/>
                <w:lang w:val="en-US"/>
              </w:rPr>
            </w:pPr>
            <w:r w:rsidRPr="00307085">
              <w:rPr>
                <w:rFonts w:cs="Arial"/>
                <w:bCs/>
              </w:rPr>
              <w:t>LOT 2</w:t>
            </w:r>
            <w:r w:rsidR="0006067E" w:rsidRPr="00307085">
              <w:rPr>
                <w:rFonts w:cs="Arial"/>
                <w:bCs/>
              </w:rPr>
              <w:t xml:space="preserve"> </w:t>
            </w:r>
          </w:p>
        </w:tc>
        <w:tc>
          <w:tcPr>
            <w:tcW w:w="7505" w:type="dxa"/>
          </w:tcPr>
          <w:p w14:paraId="17C7A207" w14:textId="659C9E0C" w:rsidR="00771BA7" w:rsidRPr="00307085" w:rsidRDefault="00947AD8" w:rsidP="00CD39C0">
            <w:pPr>
              <w:jc w:val="both"/>
              <w:rPr>
                <w:rFonts w:cs="Arial"/>
                <w:bCs/>
                <w:lang w:val="en-US"/>
              </w:rPr>
            </w:pPr>
            <w:r w:rsidRPr="00307085">
              <w:rPr>
                <w:rFonts w:cs="Arial"/>
                <w:bCs/>
              </w:rPr>
              <w:t>U</w:t>
            </w:r>
            <w:r w:rsidRPr="00307085">
              <w:t xml:space="preserve">p to </w:t>
            </w:r>
            <w:r w:rsidR="00307085" w:rsidRPr="00307085">
              <w:t xml:space="preserve">10 </w:t>
            </w:r>
            <w:r w:rsidR="001E3864" w:rsidRPr="00307085">
              <w:t xml:space="preserve">communities </w:t>
            </w:r>
            <w:r w:rsidRPr="00307085">
              <w:t>from:</w:t>
            </w:r>
            <w:r w:rsidR="009D3231" w:rsidRPr="00307085">
              <w:t xml:space="preserve"> </w:t>
            </w:r>
            <w:r w:rsidR="00A15CB1" w:rsidRPr="00307085">
              <w:t>Kyiv, Cherkasy, Kirovograd regions</w:t>
            </w:r>
          </w:p>
        </w:tc>
      </w:tr>
      <w:tr w:rsidR="0006067E" w:rsidRPr="00307085" w14:paraId="6A35CCA4" w14:textId="77777777" w:rsidTr="0006067E">
        <w:tc>
          <w:tcPr>
            <w:tcW w:w="1555" w:type="dxa"/>
          </w:tcPr>
          <w:p w14:paraId="3BCBA71E" w14:textId="14B76111" w:rsidR="0006067E" w:rsidRPr="00307085" w:rsidRDefault="0006067E" w:rsidP="0006067E">
            <w:pPr>
              <w:rPr>
                <w:rFonts w:cs="Arial"/>
                <w:bCs/>
              </w:rPr>
            </w:pPr>
            <w:r w:rsidRPr="00307085">
              <w:rPr>
                <w:rFonts w:cs="Arial"/>
                <w:bCs/>
              </w:rPr>
              <w:t xml:space="preserve">LOT 3 </w:t>
            </w:r>
          </w:p>
        </w:tc>
        <w:tc>
          <w:tcPr>
            <w:tcW w:w="7505" w:type="dxa"/>
          </w:tcPr>
          <w:p w14:paraId="0ED7070A" w14:textId="6B183F1D" w:rsidR="0006067E" w:rsidRPr="00307085" w:rsidRDefault="00947AD8" w:rsidP="0006067E">
            <w:pPr>
              <w:jc w:val="both"/>
            </w:pPr>
            <w:r w:rsidRPr="00307085">
              <w:rPr>
                <w:rFonts w:cs="Arial"/>
                <w:bCs/>
              </w:rPr>
              <w:t>U</w:t>
            </w:r>
            <w:r w:rsidRPr="00307085">
              <w:t xml:space="preserve">p to </w:t>
            </w:r>
            <w:r w:rsidR="00307085" w:rsidRPr="00307085">
              <w:t xml:space="preserve">10 </w:t>
            </w:r>
            <w:r w:rsidR="001E3864" w:rsidRPr="00307085">
              <w:t xml:space="preserve">communities </w:t>
            </w:r>
            <w:r w:rsidRPr="00307085">
              <w:t xml:space="preserve">from: </w:t>
            </w:r>
            <w:r w:rsidR="00D51FBB" w:rsidRPr="00307085">
              <w:t>Odesa, Mykolaiv</w:t>
            </w:r>
            <w:r w:rsidR="001E3EA8" w:rsidRPr="00307085">
              <w:t>,</w:t>
            </w:r>
            <w:r w:rsidR="00A257C8" w:rsidRPr="00307085">
              <w:t xml:space="preserve"> </w:t>
            </w:r>
            <w:r w:rsidR="001E3EA8" w:rsidRPr="00307085">
              <w:t xml:space="preserve">Dnipropetrovsk </w:t>
            </w:r>
            <w:r w:rsidR="00A257C8" w:rsidRPr="00307085">
              <w:t>regions</w:t>
            </w:r>
          </w:p>
        </w:tc>
      </w:tr>
      <w:tr w:rsidR="0006067E" w14:paraId="594038C6" w14:textId="77777777" w:rsidTr="0006067E">
        <w:tc>
          <w:tcPr>
            <w:tcW w:w="1555" w:type="dxa"/>
          </w:tcPr>
          <w:p w14:paraId="66A8997B" w14:textId="5A137E13" w:rsidR="0006067E" w:rsidRPr="00307085" w:rsidRDefault="0006067E" w:rsidP="0006067E">
            <w:pPr>
              <w:rPr>
                <w:rFonts w:cs="Arial"/>
                <w:bCs/>
              </w:rPr>
            </w:pPr>
            <w:r w:rsidRPr="00307085">
              <w:rPr>
                <w:rFonts w:cs="Arial"/>
                <w:bCs/>
              </w:rPr>
              <w:t xml:space="preserve">LOT 4 </w:t>
            </w:r>
          </w:p>
        </w:tc>
        <w:tc>
          <w:tcPr>
            <w:tcW w:w="7505" w:type="dxa"/>
          </w:tcPr>
          <w:p w14:paraId="6D14FD24" w14:textId="7E8610AF" w:rsidR="0006067E" w:rsidRPr="00307085" w:rsidRDefault="00947AD8" w:rsidP="0006067E">
            <w:pPr>
              <w:jc w:val="both"/>
            </w:pPr>
            <w:r w:rsidRPr="00307085">
              <w:rPr>
                <w:rFonts w:cs="Arial"/>
                <w:bCs/>
              </w:rPr>
              <w:t>U</w:t>
            </w:r>
            <w:r w:rsidRPr="00307085">
              <w:t xml:space="preserve">p to </w:t>
            </w:r>
            <w:r w:rsidR="00307085" w:rsidRPr="00307085">
              <w:t xml:space="preserve">10 </w:t>
            </w:r>
            <w:r w:rsidR="001E3864" w:rsidRPr="00307085">
              <w:t xml:space="preserve">communities </w:t>
            </w:r>
            <w:r w:rsidRPr="00307085">
              <w:t>from:</w:t>
            </w:r>
            <w:r w:rsidR="001E3EA8" w:rsidRPr="00307085">
              <w:t xml:space="preserve"> </w:t>
            </w:r>
            <w:r w:rsidR="00A257C8" w:rsidRPr="00307085">
              <w:t>Sumy</w:t>
            </w:r>
            <w:r w:rsidR="00A26ECB" w:rsidRPr="00307085">
              <w:t>, Poltava</w:t>
            </w:r>
            <w:r w:rsidR="001E3EA8" w:rsidRPr="00307085">
              <w:t>, Kharkiv</w:t>
            </w:r>
            <w:r w:rsidR="00A257C8" w:rsidRPr="00307085">
              <w:t xml:space="preserve"> regions </w:t>
            </w:r>
          </w:p>
        </w:tc>
      </w:tr>
    </w:tbl>
    <w:p w14:paraId="2B70C8FB" w14:textId="77777777" w:rsidR="00F25828" w:rsidRDefault="00771BA7" w:rsidP="00771BA7">
      <w:pPr>
        <w:pStyle w:val="ZulschenderText"/>
        <w:jc w:val="both"/>
        <w:rPr>
          <w:i w:val="0"/>
          <w:iCs/>
          <w:color w:val="auto"/>
          <w:lang w:val="en-US"/>
        </w:rPr>
      </w:pPr>
      <w:r w:rsidRPr="00D74AC4">
        <w:rPr>
          <w:i w:val="0"/>
          <w:iCs/>
          <w:color w:val="auto"/>
          <w:lang w:val="en-US"/>
        </w:rPr>
        <w:t xml:space="preserve">Contractor for each LOT </w:t>
      </w:r>
      <w:r w:rsidRPr="00E1758A">
        <w:rPr>
          <w:i w:val="0"/>
          <w:iCs/>
          <w:color w:val="auto"/>
          <w:lang w:val="en-US"/>
        </w:rPr>
        <w:t>is responsible for</w:t>
      </w:r>
      <w:r w:rsidR="00F25828">
        <w:rPr>
          <w:i w:val="0"/>
          <w:iCs/>
          <w:color w:val="auto"/>
          <w:lang w:val="en-US"/>
        </w:rPr>
        <w:t>:</w:t>
      </w:r>
    </w:p>
    <w:p w14:paraId="3ED9173B" w14:textId="59C603A3" w:rsidR="00F25828" w:rsidRPr="00B92EB6" w:rsidRDefault="00F25828" w:rsidP="00F25828">
      <w:pPr>
        <w:spacing w:after="0"/>
        <w:rPr>
          <w:rFonts w:eastAsia="Aptos" w:cs="Arial"/>
          <w:b/>
          <w:bCs/>
          <w:kern w:val="2"/>
          <w:lang w:val="en-US"/>
          <w14:ligatures w14:val="standardContextual"/>
        </w:rPr>
      </w:pPr>
      <w:r w:rsidRPr="00B92EB6">
        <w:rPr>
          <w:rFonts w:eastAsia="Aptos" w:cs="Arial"/>
          <w:b/>
          <w:bCs/>
          <w:kern w:val="2"/>
          <w:lang w:val="en-US"/>
          <w14:ligatures w14:val="standardContextual"/>
        </w:rPr>
        <w:t>Task 1 (0</w:t>
      </w:r>
      <w:r w:rsidR="00696913">
        <w:rPr>
          <w:rFonts w:eastAsia="Aptos" w:cs="Arial"/>
          <w:b/>
          <w:bCs/>
          <w:kern w:val="2"/>
          <w:lang w:val="en-US"/>
          <w14:ligatures w14:val="standardContextual"/>
        </w:rPr>
        <w:t>5</w:t>
      </w:r>
      <w:r w:rsidRPr="00B92EB6">
        <w:rPr>
          <w:rFonts w:eastAsia="Aptos" w:cs="Arial"/>
          <w:b/>
          <w:bCs/>
          <w:kern w:val="2"/>
          <w:lang w:val="en-US"/>
          <w14:ligatures w14:val="standardContextual"/>
        </w:rPr>
        <w:t>.01.-31.01.2026)</w:t>
      </w:r>
    </w:p>
    <w:p w14:paraId="6ECFAC14" w14:textId="32CAA3F3" w:rsidR="00F25828" w:rsidRPr="00B92EB6" w:rsidRDefault="00F25828" w:rsidP="00696913">
      <w:pPr>
        <w:numPr>
          <w:ilvl w:val="0"/>
          <w:numId w:val="8"/>
        </w:numPr>
        <w:spacing w:after="0"/>
        <w:contextualSpacing/>
        <w:jc w:val="both"/>
        <w:rPr>
          <w:rFonts w:eastAsia="Aptos" w:cs="Arial"/>
          <w:kern w:val="2"/>
          <w:lang w:val="en-US"/>
          <w14:ligatures w14:val="standardContextual"/>
        </w:rPr>
      </w:pPr>
      <w:r w:rsidRPr="00B92EB6">
        <w:rPr>
          <w:rFonts w:eastAsia="Aptos" w:cs="Arial"/>
          <w:kern w:val="2"/>
          <w:lang w:val="en-US"/>
          <w14:ligatures w14:val="standardContextual"/>
        </w:rPr>
        <w:t xml:space="preserve">Visits to the selected recipients </w:t>
      </w:r>
      <w:r w:rsidR="00966E32" w:rsidRPr="00757BB9">
        <w:rPr>
          <w:rFonts w:eastAsia="Aptos" w:cs="Arial"/>
          <w:kern w:val="2"/>
          <w:lang w:val="en-US"/>
          <w14:ligatures w14:val="standardContextual"/>
        </w:rPr>
        <w:t>b</w:t>
      </w:r>
      <w:r w:rsidR="00966E32">
        <w:rPr>
          <w:rFonts w:eastAsia="Aptos" w:cs="Arial"/>
          <w:kern w:val="2"/>
          <w:lang w:val="en-US"/>
          <w14:ligatures w14:val="standardContextual"/>
        </w:rPr>
        <w:t xml:space="preserve">y GIZ </w:t>
      </w:r>
      <w:r w:rsidRPr="00B92EB6">
        <w:rPr>
          <w:rFonts w:eastAsia="Aptos" w:cs="Arial"/>
          <w:kern w:val="2"/>
          <w:lang w:val="en-US"/>
          <w14:ligatures w14:val="standardContextual"/>
        </w:rPr>
        <w:t>with inspection of the selected site for the installation of the CHP units together with GIZ technical team members</w:t>
      </w:r>
    </w:p>
    <w:p w14:paraId="300963B8" w14:textId="77777777" w:rsidR="00F25828" w:rsidRPr="00B92EB6" w:rsidRDefault="00F25828" w:rsidP="00696913">
      <w:pPr>
        <w:numPr>
          <w:ilvl w:val="0"/>
          <w:numId w:val="8"/>
        </w:numPr>
        <w:spacing w:after="0"/>
        <w:contextualSpacing/>
        <w:jc w:val="both"/>
        <w:rPr>
          <w:rFonts w:eastAsia="Aptos" w:cs="Arial"/>
          <w:kern w:val="2"/>
          <w:lang w:val="en-US"/>
          <w14:ligatures w14:val="standardContextual"/>
        </w:rPr>
      </w:pPr>
      <w:r w:rsidRPr="00B92EB6">
        <w:rPr>
          <w:rFonts w:eastAsia="Aptos" w:cs="Arial"/>
          <w:kern w:val="2"/>
          <w:lang w:val="en-US"/>
          <w14:ligatures w14:val="standardContextual"/>
        </w:rPr>
        <w:t>Technical evaluation discussions on the planned measures with the partner to find out the technical approach to the use of the CHP in the future.</w:t>
      </w:r>
    </w:p>
    <w:p w14:paraId="73434569" w14:textId="77777777" w:rsidR="00F25828" w:rsidRPr="00B92EB6" w:rsidRDefault="00F25828" w:rsidP="00696913">
      <w:pPr>
        <w:numPr>
          <w:ilvl w:val="0"/>
          <w:numId w:val="8"/>
        </w:numPr>
        <w:spacing w:after="0"/>
        <w:contextualSpacing/>
        <w:jc w:val="both"/>
        <w:rPr>
          <w:rFonts w:eastAsia="Aptos" w:cs="Arial"/>
          <w:kern w:val="2"/>
          <w:lang w:val="en-US"/>
          <w14:ligatures w14:val="standardContextual"/>
        </w:rPr>
      </w:pPr>
      <w:r w:rsidRPr="00B92EB6">
        <w:rPr>
          <w:rFonts w:eastAsia="Aptos" w:cs="Arial"/>
          <w:kern w:val="2"/>
          <w:lang w:val="en-US"/>
          <w14:ligatures w14:val="standardContextual"/>
        </w:rPr>
        <w:t>Plausibility checks of partner approach to the complexity of the installation of a CHP unit and whether the partner understands its technical tasks.</w:t>
      </w:r>
    </w:p>
    <w:p w14:paraId="76CAB67E" w14:textId="77777777" w:rsidR="00F25828" w:rsidRPr="00B92EB6" w:rsidRDefault="00F25828" w:rsidP="00696913">
      <w:pPr>
        <w:numPr>
          <w:ilvl w:val="0"/>
          <w:numId w:val="8"/>
        </w:numPr>
        <w:spacing w:after="0"/>
        <w:contextualSpacing/>
        <w:jc w:val="both"/>
        <w:rPr>
          <w:rFonts w:eastAsia="Aptos" w:cs="Arial"/>
          <w:kern w:val="2"/>
          <w:lang w:val="en-US"/>
          <w14:ligatures w14:val="standardContextual"/>
        </w:rPr>
      </w:pPr>
      <w:r w:rsidRPr="00B92EB6">
        <w:rPr>
          <w:rFonts w:eastAsia="Aptos" w:cs="Arial"/>
          <w:kern w:val="2"/>
          <w:lang w:val="en-US"/>
          <w14:ligatures w14:val="standardContextual"/>
        </w:rPr>
        <w:t>Technical assessment of given partner statements, check of realistic measures with performance in short period of installation time, until next heating season 2026.</w:t>
      </w:r>
    </w:p>
    <w:p w14:paraId="653313EA" w14:textId="77777777" w:rsidR="00F25828" w:rsidRDefault="00F25828" w:rsidP="00696913">
      <w:pPr>
        <w:numPr>
          <w:ilvl w:val="0"/>
          <w:numId w:val="8"/>
        </w:numPr>
        <w:spacing w:after="0"/>
        <w:contextualSpacing/>
        <w:jc w:val="both"/>
        <w:rPr>
          <w:rFonts w:eastAsia="Aptos" w:cs="Arial"/>
          <w:kern w:val="2"/>
          <w:lang w:val="en-US"/>
          <w14:ligatures w14:val="standardContextual"/>
        </w:rPr>
      </w:pPr>
      <w:r w:rsidRPr="00B92EB6">
        <w:rPr>
          <w:rFonts w:eastAsia="Aptos" w:cs="Arial"/>
          <w:kern w:val="2"/>
          <w:lang w:val="en-US"/>
          <w14:ligatures w14:val="standardContextual"/>
        </w:rPr>
        <w:t>Assessment of Investment plan of partner for the year 2026 with selection of goods and materials what can be procured on neutral defined specification by GIZ as additional support.</w:t>
      </w:r>
    </w:p>
    <w:p w14:paraId="049CA4A6" w14:textId="77777777" w:rsidR="00754050" w:rsidRDefault="00754050" w:rsidP="000A6355">
      <w:pPr>
        <w:rPr>
          <w:lang w:val="en-US"/>
        </w:rPr>
      </w:pPr>
    </w:p>
    <w:p w14:paraId="2C68509D" w14:textId="66FCA040" w:rsidR="000A6355" w:rsidRPr="000A6355" w:rsidRDefault="000A6355" w:rsidP="000A6355">
      <w:pPr>
        <w:rPr>
          <w:rFonts w:ascii="Aptos" w:hAnsi="Aptos"/>
          <w:lang w:val="uk-UA"/>
        </w:rPr>
      </w:pPr>
      <w:r w:rsidRPr="000A6355">
        <w:rPr>
          <w:lang w:val="uk-UA"/>
        </w:rPr>
        <w:t>The Consultant shall follow the safety rules of the site when visiting facilities.</w:t>
      </w:r>
    </w:p>
    <w:p w14:paraId="401FB4F3" w14:textId="77777777" w:rsidR="00F25828" w:rsidRPr="00B92EB6" w:rsidRDefault="00F25828" w:rsidP="00F25828">
      <w:pPr>
        <w:spacing w:after="0"/>
        <w:rPr>
          <w:rFonts w:eastAsia="Aptos" w:cs="Arial"/>
          <w:b/>
          <w:bCs/>
          <w:kern w:val="2"/>
          <w:lang w:val="en-US"/>
          <w14:ligatures w14:val="standardContextual"/>
        </w:rPr>
      </w:pPr>
      <w:r>
        <w:rPr>
          <w:rFonts w:eastAsia="Aptos" w:cs="Arial"/>
          <w:b/>
          <w:bCs/>
          <w:kern w:val="2"/>
          <w:lang w:val="en-US"/>
          <w14:ligatures w14:val="standardContextual"/>
        </w:rPr>
        <w:lastRenderedPageBreak/>
        <w:t>Task</w:t>
      </w:r>
      <w:r w:rsidRPr="00B92EB6">
        <w:rPr>
          <w:rFonts w:eastAsia="Aptos" w:cs="Arial"/>
          <w:b/>
          <w:bCs/>
          <w:kern w:val="2"/>
          <w:lang w:val="en-US"/>
          <w14:ligatures w14:val="standardContextual"/>
        </w:rPr>
        <w:t xml:space="preserve"> 2 (01.02.-20.02.2026)</w:t>
      </w:r>
    </w:p>
    <w:p w14:paraId="1B6DB3F5" w14:textId="77777777" w:rsidR="00F25828" w:rsidRPr="00B92EB6" w:rsidRDefault="00F25828" w:rsidP="00F25828">
      <w:pPr>
        <w:spacing w:after="0"/>
        <w:rPr>
          <w:rFonts w:eastAsia="Aptos" w:cs="Arial"/>
          <w:kern w:val="2"/>
          <w:lang w:val="en-US"/>
          <w14:ligatures w14:val="standardContextual"/>
        </w:rPr>
      </w:pPr>
      <w:r w:rsidRPr="00B92EB6">
        <w:rPr>
          <w:rFonts w:eastAsia="Aptos" w:cs="Arial"/>
          <w:kern w:val="2"/>
          <w:lang w:val="en-US"/>
          <w14:ligatures w14:val="standardContextual"/>
        </w:rPr>
        <w:tab/>
      </w:r>
    </w:p>
    <w:p w14:paraId="5A9D8423" w14:textId="77777777" w:rsidR="00F25828" w:rsidRPr="00B92EB6" w:rsidRDefault="00F25828" w:rsidP="00696913">
      <w:pPr>
        <w:numPr>
          <w:ilvl w:val="0"/>
          <w:numId w:val="8"/>
        </w:numPr>
        <w:spacing w:after="0"/>
        <w:contextualSpacing/>
        <w:jc w:val="both"/>
        <w:rPr>
          <w:rFonts w:eastAsia="Aptos" w:cs="Arial"/>
          <w:kern w:val="2"/>
          <w:lang w:val="en-US"/>
          <w14:ligatures w14:val="standardContextual"/>
        </w:rPr>
      </w:pPr>
      <w:r w:rsidRPr="00B92EB6">
        <w:rPr>
          <w:rFonts w:eastAsia="Aptos" w:cs="Arial"/>
          <w:kern w:val="2"/>
          <w:lang w:val="en-US"/>
          <w14:ligatures w14:val="standardContextual"/>
        </w:rPr>
        <w:t>Preparation of 3 different standard packages of goods/materials out of the collected information for the support of receiving cogeneration unit partners</w:t>
      </w:r>
    </w:p>
    <w:p w14:paraId="67E30D27" w14:textId="77777777" w:rsidR="00F25828" w:rsidRPr="00B92EB6" w:rsidRDefault="00F25828" w:rsidP="00696913">
      <w:pPr>
        <w:numPr>
          <w:ilvl w:val="0"/>
          <w:numId w:val="8"/>
        </w:numPr>
        <w:spacing w:after="0"/>
        <w:contextualSpacing/>
        <w:jc w:val="both"/>
        <w:rPr>
          <w:rFonts w:eastAsia="Aptos" w:cs="Arial"/>
          <w:kern w:val="2"/>
          <w:lang w:val="en-US"/>
          <w14:ligatures w14:val="standardContextual"/>
        </w:rPr>
      </w:pPr>
      <w:r w:rsidRPr="00B92EB6">
        <w:rPr>
          <w:rFonts w:eastAsia="Aptos" w:cs="Arial"/>
          <w:kern w:val="2"/>
          <w:lang w:val="en-US"/>
          <w14:ligatures w14:val="standardContextual"/>
        </w:rPr>
        <w:t>Preparation of neutral specifications for goods/materials</w:t>
      </w:r>
    </w:p>
    <w:p w14:paraId="0C7C743A" w14:textId="0958B009" w:rsidR="00F25828" w:rsidRPr="00B92EB6" w:rsidRDefault="00287A9A" w:rsidP="00696913">
      <w:pPr>
        <w:numPr>
          <w:ilvl w:val="0"/>
          <w:numId w:val="8"/>
        </w:numPr>
        <w:spacing w:after="0"/>
        <w:contextualSpacing/>
        <w:jc w:val="both"/>
        <w:rPr>
          <w:rFonts w:eastAsia="Aptos" w:cs="Arial"/>
          <w:kern w:val="2"/>
          <w:lang w:val="en-US"/>
          <w14:ligatures w14:val="standardContextual"/>
        </w:rPr>
      </w:pPr>
      <w:r>
        <w:rPr>
          <w:rFonts w:eastAsia="Aptos" w:cs="Arial"/>
          <w:kern w:val="2"/>
          <w:lang w:val="en-US"/>
          <w14:ligatures w14:val="standardContextual"/>
        </w:rPr>
        <w:t>Collection of initial data for</w:t>
      </w:r>
      <w:r w:rsidRPr="00B92EB6">
        <w:rPr>
          <w:rFonts w:eastAsia="Aptos" w:cs="Arial"/>
          <w:kern w:val="2"/>
          <w:lang w:val="en-US"/>
          <w14:ligatures w14:val="standardContextual"/>
        </w:rPr>
        <w:t xml:space="preserve"> </w:t>
      </w:r>
      <w:r w:rsidR="00F25828" w:rsidRPr="00B92EB6">
        <w:rPr>
          <w:rFonts w:eastAsia="Aptos" w:cs="Arial"/>
          <w:kern w:val="2"/>
          <w:lang w:val="en-US"/>
          <w14:ligatures w14:val="standardContextual"/>
        </w:rPr>
        <w:t>market research on Ukraine market and cost estimations</w:t>
      </w:r>
    </w:p>
    <w:p w14:paraId="5AD7EBFF" w14:textId="77777777" w:rsidR="00F25828" w:rsidRDefault="00F25828" w:rsidP="00F25828">
      <w:pPr>
        <w:spacing w:after="0"/>
        <w:contextualSpacing/>
        <w:jc w:val="both"/>
        <w:rPr>
          <w:rFonts w:eastAsia="Aptos" w:cs="Arial"/>
          <w:kern w:val="2"/>
          <w:lang w:val="en-US"/>
          <w14:ligatures w14:val="standardContextual"/>
        </w:rPr>
      </w:pPr>
    </w:p>
    <w:p w14:paraId="28856B95" w14:textId="77777777" w:rsidR="00F25828" w:rsidRPr="00B92EB6" w:rsidRDefault="00F25828" w:rsidP="00F25828">
      <w:pPr>
        <w:spacing w:after="0"/>
        <w:rPr>
          <w:rFonts w:eastAsia="Aptos" w:cs="Arial"/>
          <w:b/>
          <w:bCs/>
          <w:kern w:val="2"/>
          <w:lang w:val="en-US"/>
          <w14:ligatures w14:val="standardContextual"/>
        </w:rPr>
      </w:pPr>
      <w:r>
        <w:rPr>
          <w:rFonts w:eastAsia="Aptos" w:cs="Arial"/>
          <w:b/>
          <w:bCs/>
          <w:kern w:val="2"/>
          <w:lang w:val="en-US"/>
          <w14:ligatures w14:val="standardContextual"/>
        </w:rPr>
        <w:t>Task</w:t>
      </w:r>
      <w:r w:rsidRPr="00B92EB6">
        <w:rPr>
          <w:rFonts w:eastAsia="Aptos" w:cs="Arial"/>
          <w:b/>
          <w:bCs/>
          <w:kern w:val="2"/>
          <w:lang w:val="en-US"/>
          <w14:ligatures w14:val="standardContextual"/>
        </w:rPr>
        <w:t xml:space="preserve"> 3 (14.03. – 14.04.2026)</w:t>
      </w:r>
    </w:p>
    <w:p w14:paraId="519EA359" w14:textId="77777777" w:rsidR="00F25828" w:rsidRDefault="00F25828" w:rsidP="00696913">
      <w:pPr>
        <w:numPr>
          <w:ilvl w:val="0"/>
          <w:numId w:val="8"/>
        </w:numPr>
        <w:spacing w:after="0"/>
        <w:contextualSpacing/>
        <w:jc w:val="both"/>
        <w:rPr>
          <w:rFonts w:eastAsia="Aptos" w:cs="Arial"/>
          <w:kern w:val="2"/>
          <w:lang w:val="en-US"/>
          <w14:ligatures w14:val="standardContextual"/>
        </w:rPr>
      </w:pPr>
      <w:r w:rsidRPr="00B92EB6">
        <w:rPr>
          <w:rFonts w:eastAsia="Aptos" w:cs="Arial"/>
          <w:kern w:val="2"/>
          <w:lang w:val="en-US"/>
          <w14:ligatures w14:val="standardContextual"/>
        </w:rPr>
        <w:t>Technical evaluation of bids for material and goods</w:t>
      </w:r>
    </w:p>
    <w:p w14:paraId="4DED6E70" w14:textId="77777777" w:rsidR="00F25828" w:rsidRPr="00B92EB6" w:rsidRDefault="00F25828" w:rsidP="00F25828">
      <w:pPr>
        <w:spacing w:after="0"/>
        <w:rPr>
          <w:rFonts w:eastAsia="Aptos" w:cs="Arial"/>
          <w:b/>
          <w:bCs/>
          <w:kern w:val="2"/>
          <w:lang w:val="en-US"/>
          <w14:ligatures w14:val="standardContextual"/>
        </w:rPr>
      </w:pPr>
      <w:r>
        <w:rPr>
          <w:rFonts w:eastAsia="Aptos" w:cs="Arial"/>
          <w:b/>
          <w:bCs/>
          <w:kern w:val="2"/>
          <w:lang w:val="en-US"/>
          <w14:ligatures w14:val="standardContextual"/>
        </w:rPr>
        <w:t>Task</w:t>
      </w:r>
      <w:r w:rsidRPr="00B92EB6">
        <w:rPr>
          <w:rFonts w:eastAsia="Aptos" w:cs="Arial"/>
          <w:b/>
          <w:bCs/>
          <w:kern w:val="2"/>
          <w:lang w:val="en-US"/>
          <w14:ligatures w14:val="standardContextual"/>
        </w:rPr>
        <w:t xml:space="preserve"> </w:t>
      </w:r>
      <w:r>
        <w:rPr>
          <w:rFonts w:eastAsia="Aptos" w:cs="Arial"/>
          <w:b/>
          <w:bCs/>
          <w:kern w:val="2"/>
          <w:lang w:val="en-US"/>
          <w14:ligatures w14:val="standardContextual"/>
        </w:rPr>
        <w:t>4</w:t>
      </w:r>
      <w:r w:rsidRPr="00B92EB6">
        <w:rPr>
          <w:rFonts w:eastAsia="Aptos" w:cs="Arial"/>
          <w:b/>
          <w:bCs/>
          <w:kern w:val="2"/>
          <w:lang w:val="en-US"/>
          <w14:ligatures w14:val="standardContextual"/>
        </w:rPr>
        <w:t xml:space="preserve"> (</w:t>
      </w:r>
      <w:r>
        <w:rPr>
          <w:rFonts w:eastAsia="Aptos" w:cs="Arial"/>
          <w:b/>
          <w:bCs/>
          <w:kern w:val="2"/>
          <w:lang w:val="en-US"/>
          <w14:ligatures w14:val="standardContextual"/>
        </w:rPr>
        <w:t>15</w:t>
      </w:r>
      <w:r w:rsidRPr="00B92EB6">
        <w:rPr>
          <w:rFonts w:eastAsia="Aptos" w:cs="Arial"/>
          <w:b/>
          <w:bCs/>
          <w:kern w:val="2"/>
          <w:lang w:val="en-US"/>
          <w14:ligatures w14:val="standardContextual"/>
        </w:rPr>
        <w:t>.0</w:t>
      </w:r>
      <w:r>
        <w:rPr>
          <w:rFonts w:eastAsia="Aptos" w:cs="Arial"/>
          <w:b/>
          <w:bCs/>
          <w:kern w:val="2"/>
          <w:lang w:val="en-US"/>
          <w14:ligatures w14:val="standardContextual"/>
        </w:rPr>
        <w:t>4</w:t>
      </w:r>
      <w:r w:rsidRPr="00B92EB6">
        <w:rPr>
          <w:rFonts w:eastAsia="Aptos" w:cs="Arial"/>
          <w:b/>
          <w:bCs/>
          <w:kern w:val="2"/>
          <w:lang w:val="en-US"/>
          <w14:ligatures w14:val="standardContextual"/>
        </w:rPr>
        <w:t xml:space="preserve">. – </w:t>
      </w:r>
      <w:r>
        <w:rPr>
          <w:rFonts w:eastAsia="Aptos" w:cs="Arial"/>
          <w:b/>
          <w:bCs/>
          <w:kern w:val="2"/>
          <w:lang w:val="en-US"/>
          <w14:ligatures w14:val="standardContextual"/>
        </w:rPr>
        <w:t>30</w:t>
      </w:r>
      <w:r w:rsidRPr="00B92EB6">
        <w:rPr>
          <w:rFonts w:eastAsia="Aptos" w:cs="Arial"/>
          <w:b/>
          <w:bCs/>
          <w:kern w:val="2"/>
          <w:lang w:val="en-US"/>
          <w14:ligatures w14:val="standardContextual"/>
        </w:rPr>
        <w:t>.</w:t>
      </w:r>
      <w:r>
        <w:rPr>
          <w:rFonts w:eastAsia="Aptos" w:cs="Arial"/>
          <w:b/>
          <w:bCs/>
          <w:kern w:val="2"/>
          <w:lang w:val="en-US"/>
          <w14:ligatures w14:val="standardContextual"/>
        </w:rPr>
        <w:t>11</w:t>
      </w:r>
      <w:r w:rsidRPr="00B92EB6">
        <w:rPr>
          <w:rFonts w:eastAsia="Aptos" w:cs="Arial"/>
          <w:b/>
          <w:bCs/>
          <w:kern w:val="2"/>
          <w:lang w:val="en-US"/>
          <w14:ligatures w14:val="standardContextual"/>
        </w:rPr>
        <w:t>.2026)</w:t>
      </w:r>
    </w:p>
    <w:p w14:paraId="68E829D0" w14:textId="5F34F8A6" w:rsidR="00F25828" w:rsidRPr="00931018" w:rsidRDefault="00F25828" w:rsidP="00931018">
      <w:pPr>
        <w:numPr>
          <w:ilvl w:val="0"/>
          <w:numId w:val="8"/>
        </w:numPr>
        <w:spacing w:after="0"/>
        <w:contextualSpacing/>
        <w:jc w:val="both"/>
        <w:rPr>
          <w:rFonts w:eastAsia="Aptos" w:cs="Arial"/>
          <w:kern w:val="2"/>
          <w:lang w:val="en-US"/>
          <w14:ligatures w14:val="standardContextual"/>
        </w:rPr>
      </w:pPr>
      <w:r>
        <w:rPr>
          <w:rFonts w:eastAsia="Aptos" w:cs="Arial"/>
          <w:kern w:val="2"/>
          <w:lang w:val="en-US"/>
          <w14:ligatures w14:val="standardContextual"/>
        </w:rPr>
        <w:t>Site inspection at the partners to review installation works</w:t>
      </w:r>
      <w:r w:rsidR="00E01E7A" w:rsidRPr="00E01E7A">
        <w:rPr>
          <w:rFonts w:ascii="Aptos" w:hAnsi="Aptos" w:cs="Calibri"/>
          <w:sz w:val="24"/>
          <w:szCs w:val="24"/>
          <w:lang w:val="uk-UA" w:eastAsia="uk-UA"/>
        </w:rPr>
        <w:t xml:space="preserve"> </w:t>
      </w:r>
      <w:r w:rsidR="00E01E7A" w:rsidRPr="00E01E7A">
        <w:rPr>
          <w:rFonts w:eastAsia="Aptos" w:cs="Arial"/>
          <w:kern w:val="2"/>
          <w:lang w:val="uk-UA"/>
          <w14:ligatures w14:val="standardContextual"/>
        </w:rPr>
        <w:t xml:space="preserve">– </w:t>
      </w:r>
      <w:r w:rsidR="00E01E7A" w:rsidRPr="00E01E7A">
        <w:rPr>
          <w:rFonts w:eastAsia="Aptos" w:cs="Arial"/>
          <w:kern w:val="2"/>
          <w:lang w:val="en-US"/>
          <w14:ligatures w14:val="standardContextual"/>
        </w:rPr>
        <w:t>Contractor must check installation process, quality of works, provide advises to the partners how to do installation in correct way etc.</w:t>
      </w:r>
    </w:p>
    <w:p w14:paraId="2D990321" w14:textId="77777777" w:rsidR="00F25828" w:rsidRDefault="00F25828" w:rsidP="00696913">
      <w:pPr>
        <w:numPr>
          <w:ilvl w:val="0"/>
          <w:numId w:val="8"/>
        </w:numPr>
        <w:spacing w:after="0"/>
        <w:contextualSpacing/>
        <w:jc w:val="both"/>
        <w:rPr>
          <w:rFonts w:eastAsia="Aptos" w:cs="Arial"/>
          <w:kern w:val="2"/>
          <w:lang w:val="en-US"/>
          <w14:ligatures w14:val="standardContextual"/>
        </w:rPr>
      </w:pPr>
      <w:r>
        <w:rPr>
          <w:rFonts w:eastAsia="Aptos" w:cs="Arial"/>
          <w:kern w:val="2"/>
          <w:lang w:val="en-US"/>
          <w14:ligatures w14:val="standardContextual"/>
        </w:rPr>
        <w:t>Preparation of site reports</w:t>
      </w:r>
    </w:p>
    <w:p w14:paraId="43457AF0" w14:textId="77777777" w:rsidR="008140FF" w:rsidRDefault="008140FF" w:rsidP="00771BA7">
      <w:pPr>
        <w:pStyle w:val="ZulschenderText"/>
        <w:jc w:val="both"/>
        <w:rPr>
          <w:i w:val="0"/>
          <w:iCs/>
          <w:color w:val="auto"/>
          <w:lang w:val="en-US"/>
        </w:rPr>
      </w:pPr>
    </w:p>
    <w:p w14:paraId="0A56F197" w14:textId="2A65FC72" w:rsidR="00771BA7" w:rsidRDefault="00771BA7" w:rsidP="00771BA7">
      <w:pPr>
        <w:pStyle w:val="ZulschenderText"/>
        <w:jc w:val="both"/>
        <w:rPr>
          <w:i w:val="0"/>
          <w:iCs/>
          <w:color w:val="auto"/>
          <w:lang w:val="en-US"/>
        </w:rPr>
      </w:pPr>
      <w:r w:rsidRPr="00D74AC4">
        <w:rPr>
          <w:i w:val="0"/>
          <w:iCs/>
          <w:color w:val="auto"/>
          <w:lang w:val="uk-UA"/>
        </w:rPr>
        <w:t xml:space="preserve">Contractor for each LOT </w:t>
      </w:r>
      <w:r w:rsidRPr="002923C6">
        <w:rPr>
          <w:i w:val="0"/>
          <w:iCs/>
          <w:color w:val="auto"/>
          <w:lang w:val="uk-UA"/>
        </w:rPr>
        <w:t xml:space="preserve">will provide technical services to prepare </w:t>
      </w:r>
      <w:r w:rsidR="008140FF">
        <w:rPr>
          <w:i w:val="0"/>
          <w:iCs/>
          <w:color w:val="auto"/>
          <w:lang w:val="en-US"/>
        </w:rPr>
        <w:t>reports</w:t>
      </w:r>
      <w:r w:rsidRPr="002923C6">
        <w:rPr>
          <w:i w:val="0"/>
          <w:iCs/>
          <w:color w:val="auto"/>
          <w:lang w:val="uk-UA"/>
        </w:rPr>
        <w:t xml:space="preserve">, technical tender </w:t>
      </w:r>
      <w:r>
        <w:rPr>
          <w:i w:val="0"/>
          <w:iCs/>
          <w:color w:val="auto"/>
          <w:lang w:val="en-US"/>
        </w:rPr>
        <w:t>d</w:t>
      </w:r>
      <w:r w:rsidRPr="002923C6">
        <w:rPr>
          <w:i w:val="0"/>
          <w:iCs/>
          <w:color w:val="auto"/>
          <w:lang w:val="uk-UA"/>
        </w:rPr>
        <w:t>ocumentation, plus the full package of tender documents in accordance with Ukrainian laws, regulations, standards and procedures.</w:t>
      </w:r>
    </w:p>
    <w:p w14:paraId="5426B451" w14:textId="24FE2FA6" w:rsidR="008140FF" w:rsidRPr="008140FF" w:rsidRDefault="008140FF" w:rsidP="00771BA7">
      <w:pPr>
        <w:pStyle w:val="ZulschenderText"/>
        <w:jc w:val="both"/>
        <w:rPr>
          <w:i w:val="0"/>
          <w:iCs/>
          <w:color w:val="auto"/>
          <w:lang w:val="en-US"/>
        </w:rPr>
      </w:pPr>
      <w:r w:rsidRPr="008140FF">
        <w:rPr>
          <w:i w:val="0"/>
          <w:iCs/>
          <w:color w:val="auto"/>
          <w:lang w:val="en-US"/>
        </w:rPr>
        <w:t xml:space="preserve">Contractors for </w:t>
      </w:r>
      <w:r>
        <w:rPr>
          <w:i w:val="0"/>
          <w:iCs/>
          <w:color w:val="auto"/>
          <w:lang w:val="en-US"/>
        </w:rPr>
        <w:t>each</w:t>
      </w:r>
      <w:r w:rsidRPr="008140FF">
        <w:rPr>
          <w:i w:val="0"/>
          <w:iCs/>
          <w:color w:val="auto"/>
          <w:lang w:val="en-US"/>
        </w:rPr>
        <w:t xml:space="preserve"> LOT report in written on progress status regularly</w:t>
      </w:r>
      <w:r>
        <w:rPr>
          <w:i w:val="0"/>
          <w:iCs/>
          <w:color w:val="auto"/>
          <w:lang w:val="en-US"/>
        </w:rPr>
        <w:t xml:space="preserve"> </w:t>
      </w:r>
      <w:r w:rsidRPr="008140FF">
        <w:rPr>
          <w:i w:val="0"/>
          <w:iCs/>
          <w:color w:val="auto"/>
          <w:lang w:val="en-US"/>
        </w:rPr>
        <w:t>(</w:t>
      </w:r>
      <w:r>
        <w:rPr>
          <w:i w:val="0"/>
          <w:iCs/>
          <w:color w:val="auto"/>
          <w:lang w:val="en-US"/>
        </w:rPr>
        <w:t>weekly</w:t>
      </w:r>
      <w:r w:rsidRPr="008140FF">
        <w:rPr>
          <w:i w:val="0"/>
          <w:iCs/>
          <w:color w:val="auto"/>
          <w:lang w:val="en-US"/>
        </w:rPr>
        <w:t>) to GIZ in accordance with the current AVB of the Deutsche Gesellschaft für Internationale Zusammenarbeit (GIZ) GmbH.</w:t>
      </w:r>
    </w:p>
    <w:p w14:paraId="60A95B87" w14:textId="1B57F6BC" w:rsidR="00E17DF0" w:rsidRDefault="00106D65" w:rsidP="00127D3B">
      <w:pPr>
        <w:pStyle w:val="ZwischenberschriftmitAbstand"/>
        <w:jc w:val="both"/>
      </w:pPr>
      <w:r w:rsidRPr="00106D65">
        <w:t>The contractor for each LOT is responsible for providing the following work packages and for achieving the corresponding milestones</w:t>
      </w:r>
      <w:r w:rsidR="00E17DF0">
        <w:t>:</w:t>
      </w:r>
    </w:p>
    <w:tbl>
      <w:tblPr>
        <w:tblStyle w:val="TableGrid"/>
        <w:tblW w:w="0" w:type="auto"/>
        <w:tblInd w:w="-108" w:type="dxa"/>
        <w:tblBorders>
          <w:left w:val="none" w:sz="0" w:space="0" w:color="auto"/>
          <w:right w:val="none" w:sz="0" w:space="0" w:color="auto"/>
        </w:tblBorders>
        <w:tblLook w:val="04A0" w:firstRow="1" w:lastRow="0" w:firstColumn="1" w:lastColumn="0" w:noHBand="0" w:noVBand="1"/>
      </w:tblPr>
      <w:tblGrid>
        <w:gridCol w:w="5353"/>
        <w:gridCol w:w="3969"/>
      </w:tblGrid>
      <w:tr w:rsidR="00087999" w14:paraId="56E757DA" w14:textId="77777777" w:rsidTr="75166D84">
        <w:tc>
          <w:tcPr>
            <w:tcW w:w="5353" w:type="dxa"/>
          </w:tcPr>
          <w:p w14:paraId="6983AFED" w14:textId="77777777" w:rsidR="00087999" w:rsidRPr="00D93EF8" w:rsidRDefault="00087999" w:rsidP="00127D3B">
            <w:pPr>
              <w:spacing w:before="40" w:after="40"/>
              <w:jc w:val="both"/>
              <w:rPr>
                <w:rFonts w:cs="Arial"/>
                <w:b/>
                <w:bCs/>
                <w:sz w:val="22"/>
                <w:szCs w:val="22"/>
              </w:rPr>
            </w:pPr>
            <w:r w:rsidRPr="00127D3B">
              <w:rPr>
                <w:rFonts w:cs="Arial"/>
                <w:b/>
              </w:rPr>
              <w:t>Milestones/process steps/partial services</w:t>
            </w:r>
          </w:p>
        </w:tc>
        <w:tc>
          <w:tcPr>
            <w:tcW w:w="3969" w:type="dxa"/>
          </w:tcPr>
          <w:p w14:paraId="7C010949" w14:textId="264047A7" w:rsidR="00087999" w:rsidRPr="00D93EF8" w:rsidRDefault="004E2F4F" w:rsidP="00127D3B">
            <w:pPr>
              <w:spacing w:before="40" w:after="40"/>
              <w:jc w:val="both"/>
              <w:rPr>
                <w:rFonts w:cs="Arial"/>
                <w:b/>
                <w:bCs/>
                <w:sz w:val="22"/>
                <w:szCs w:val="22"/>
              </w:rPr>
            </w:pPr>
            <w:r w:rsidRPr="75166D84">
              <w:rPr>
                <w:rFonts w:cs="Arial"/>
                <w:b/>
                <w:bCs/>
              </w:rPr>
              <w:t>Anticipated d</w:t>
            </w:r>
            <w:r w:rsidR="00087999" w:rsidRPr="75166D84">
              <w:rPr>
                <w:rFonts w:cs="Arial"/>
                <w:b/>
                <w:bCs/>
              </w:rPr>
              <w:t>eadline/place/person responsible</w:t>
            </w:r>
          </w:p>
        </w:tc>
      </w:tr>
      <w:tr w:rsidR="008140FF" w14:paraId="40565940" w14:textId="77777777" w:rsidTr="75166D84">
        <w:tc>
          <w:tcPr>
            <w:tcW w:w="5353" w:type="dxa"/>
          </w:tcPr>
          <w:p w14:paraId="04222210" w14:textId="2DD2326B" w:rsidR="008140FF" w:rsidRPr="00D93EF8" w:rsidRDefault="008140FF" w:rsidP="008140FF">
            <w:pPr>
              <w:spacing w:before="40" w:after="40"/>
              <w:jc w:val="both"/>
              <w:rPr>
                <w:rFonts w:cs="Arial"/>
                <w:sz w:val="22"/>
                <w:szCs w:val="22"/>
              </w:rPr>
            </w:pPr>
            <w:r>
              <w:t>Assessment of existing situation at partner locations</w:t>
            </w:r>
          </w:p>
        </w:tc>
        <w:tc>
          <w:tcPr>
            <w:tcW w:w="3969" w:type="dxa"/>
          </w:tcPr>
          <w:p w14:paraId="2C816773" w14:textId="32A487A2" w:rsidR="008140FF" w:rsidRPr="00D93EF8" w:rsidRDefault="008140FF" w:rsidP="008140FF">
            <w:pPr>
              <w:spacing w:before="40" w:after="40"/>
              <w:jc w:val="both"/>
              <w:rPr>
                <w:rFonts w:cs="Arial"/>
                <w:sz w:val="22"/>
                <w:szCs w:val="22"/>
              </w:rPr>
            </w:pPr>
            <w:r>
              <w:rPr>
                <w:lang w:val="de-DE"/>
              </w:rPr>
              <w:t>31.01.2026</w:t>
            </w:r>
          </w:p>
        </w:tc>
      </w:tr>
      <w:tr w:rsidR="008140FF" w14:paraId="1C132259" w14:textId="77777777" w:rsidTr="75166D84">
        <w:tc>
          <w:tcPr>
            <w:tcW w:w="5353" w:type="dxa"/>
          </w:tcPr>
          <w:p w14:paraId="6C938A1C" w14:textId="77777777" w:rsidR="008140FF" w:rsidRDefault="008140FF" w:rsidP="008140FF">
            <w:pPr>
              <w:spacing w:before="40" w:after="40"/>
              <w:jc w:val="both"/>
            </w:pPr>
            <w:r>
              <w:t xml:space="preserve">Preparation of procurement lists (3 standard packages) </w:t>
            </w:r>
          </w:p>
          <w:p w14:paraId="7326502D" w14:textId="77777777" w:rsidR="008140FF" w:rsidRDefault="008140FF" w:rsidP="008140FF">
            <w:pPr>
              <w:spacing w:before="40" w:after="40"/>
              <w:jc w:val="both"/>
              <w:rPr>
                <w:lang w:val="en-US"/>
              </w:rPr>
            </w:pPr>
            <w:r>
              <w:rPr>
                <w:lang w:val="en-US"/>
              </w:rPr>
              <w:t>Defining neutral technical specifications</w:t>
            </w:r>
          </w:p>
          <w:p w14:paraId="4BAACC15" w14:textId="79E383BE" w:rsidR="008140FF" w:rsidRPr="00D93EF8" w:rsidRDefault="008140FF" w:rsidP="008140FF">
            <w:pPr>
              <w:spacing w:before="40" w:after="40"/>
              <w:jc w:val="both"/>
              <w:rPr>
                <w:rFonts w:cs="Arial"/>
                <w:sz w:val="22"/>
                <w:szCs w:val="22"/>
              </w:rPr>
            </w:pPr>
            <w:r>
              <w:rPr>
                <w:lang w:val="en-US"/>
              </w:rPr>
              <w:t xml:space="preserve">Market research </w:t>
            </w:r>
            <w:r w:rsidR="00394123">
              <w:rPr>
                <w:lang w:val="en-US"/>
              </w:rPr>
              <w:t>on</w:t>
            </w:r>
            <w:r w:rsidR="00493E70">
              <w:rPr>
                <w:lang w:val="en-US"/>
              </w:rPr>
              <w:t xml:space="preserve"> prices and availability on the market</w:t>
            </w:r>
          </w:p>
        </w:tc>
        <w:tc>
          <w:tcPr>
            <w:tcW w:w="3969" w:type="dxa"/>
          </w:tcPr>
          <w:p w14:paraId="726427AE" w14:textId="488F9FE2" w:rsidR="008140FF" w:rsidRPr="00D93EF8" w:rsidRDefault="008140FF" w:rsidP="008140FF">
            <w:pPr>
              <w:spacing w:before="40" w:after="40"/>
              <w:jc w:val="both"/>
              <w:rPr>
                <w:rFonts w:cs="Arial"/>
                <w:sz w:val="22"/>
                <w:szCs w:val="22"/>
              </w:rPr>
            </w:pPr>
            <w:r>
              <w:t>20.02.2026</w:t>
            </w:r>
          </w:p>
        </w:tc>
      </w:tr>
      <w:tr w:rsidR="008140FF" w14:paraId="781A6782" w14:textId="77777777" w:rsidTr="75166D84">
        <w:tc>
          <w:tcPr>
            <w:tcW w:w="5353" w:type="dxa"/>
          </w:tcPr>
          <w:p w14:paraId="251975DE" w14:textId="0A9D16B2" w:rsidR="008140FF" w:rsidRPr="00D93EF8" w:rsidRDefault="008140FF" w:rsidP="008140FF">
            <w:pPr>
              <w:spacing w:before="40" w:after="40"/>
              <w:jc w:val="both"/>
              <w:rPr>
                <w:rFonts w:cs="Arial"/>
                <w:sz w:val="22"/>
                <w:szCs w:val="22"/>
              </w:rPr>
            </w:pPr>
            <w:r>
              <w:t>Technical evaluation of bids</w:t>
            </w:r>
          </w:p>
        </w:tc>
        <w:tc>
          <w:tcPr>
            <w:tcW w:w="3969" w:type="dxa"/>
          </w:tcPr>
          <w:p w14:paraId="5CCB8EB4" w14:textId="082BE8A7" w:rsidR="008140FF" w:rsidRPr="00D93EF8" w:rsidRDefault="008140FF" w:rsidP="008140FF">
            <w:pPr>
              <w:spacing w:before="40" w:after="40"/>
              <w:jc w:val="both"/>
              <w:rPr>
                <w:rFonts w:cs="Arial"/>
                <w:sz w:val="22"/>
                <w:szCs w:val="22"/>
              </w:rPr>
            </w:pPr>
            <w:r>
              <w:t>14.04.2026</w:t>
            </w:r>
          </w:p>
        </w:tc>
      </w:tr>
      <w:tr w:rsidR="008140FF" w14:paraId="731408DA" w14:textId="77777777" w:rsidTr="75166D84">
        <w:tc>
          <w:tcPr>
            <w:tcW w:w="5353" w:type="dxa"/>
          </w:tcPr>
          <w:p w14:paraId="2801D3A0" w14:textId="7D665FA5" w:rsidR="008140FF" w:rsidRPr="00D93EF8" w:rsidRDefault="008140FF" w:rsidP="008140FF">
            <w:pPr>
              <w:spacing w:before="40" w:after="40"/>
              <w:jc w:val="both"/>
              <w:rPr>
                <w:rFonts w:cs="Arial"/>
                <w:sz w:val="22"/>
                <w:szCs w:val="22"/>
              </w:rPr>
            </w:pPr>
            <w:r>
              <w:t>Site inspections with site reports</w:t>
            </w:r>
          </w:p>
        </w:tc>
        <w:tc>
          <w:tcPr>
            <w:tcW w:w="3969" w:type="dxa"/>
          </w:tcPr>
          <w:p w14:paraId="69205C17" w14:textId="7C598103" w:rsidR="008140FF" w:rsidRPr="00D93EF8" w:rsidRDefault="008140FF" w:rsidP="008140FF">
            <w:pPr>
              <w:spacing w:before="40" w:after="40"/>
              <w:jc w:val="both"/>
              <w:rPr>
                <w:rFonts w:cs="Arial"/>
                <w:sz w:val="22"/>
                <w:szCs w:val="22"/>
              </w:rPr>
            </w:pPr>
            <w:r w:rsidRPr="00B92EB6">
              <w:t>30.11.2026</w:t>
            </w:r>
          </w:p>
        </w:tc>
      </w:tr>
    </w:tbl>
    <w:p w14:paraId="22F98BEB" w14:textId="77777777" w:rsidR="007D584D" w:rsidRDefault="007D584D" w:rsidP="00127D3B">
      <w:pPr>
        <w:autoSpaceDE w:val="0"/>
        <w:autoSpaceDN w:val="0"/>
        <w:adjustRightInd w:val="0"/>
        <w:spacing w:line="240" w:lineRule="exact"/>
        <w:contextualSpacing/>
        <w:jc w:val="both"/>
        <w:rPr>
          <w:rFonts w:cs="Arial"/>
          <w:color w:val="000000"/>
          <w:lang w:val="en-US" w:eastAsia="zh-CN"/>
        </w:rPr>
      </w:pPr>
    </w:p>
    <w:p w14:paraId="31BEAA12" w14:textId="127328F2" w:rsidR="00CE3E3B" w:rsidRDefault="00292AED" w:rsidP="00127D3B">
      <w:pPr>
        <w:autoSpaceDE w:val="0"/>
        <w:autoSpaceDN w:val="0"/>
        <w:adjustRightInd w:val="0"/>
        <w:spacing w:line="240" w:lineRule="exact"/>
        <w:contextualSpacing/>
        <w:jc w:val="both"/>
      </w:pPr>
      <w:r w:rsidRPr="00127D3B">
        <w:rPr>
          <w:rFonts w:cs="Arial"/>
          <w:color w:val="000000"/>
          <w:lang w:val="en-US" w:eastAsia="zh-CN"/>
        </w:rPr>
        <w:t>The contract duration</w:t>
      </w:r>
      <w:r w:rsidR="004D05FD" w:rsidRPr="00127D3B">
        <w:rPr>
          <w:rFonts w:cs="Arial"/>
          <w:color w:val="000000"/>
          <w:lang w:eastAsia="zh-CN"/>
        </w:rPr>
        <w:t xml:space="preserve"> is from </w:t>
      </w:r>
      <w:r w:rsidR="00655823">
        <w:fldChar w:fldCharType="begin">
          <w:ffData>
            <w:name w:val=""/>
            <w:enabled/>
            <w:calcOnExit w:val="0"/>
            <w:textInput>
              <w:default w:val="20.01.2026"/>
            </w:textInput>
          </w:ffData>
        </w:fldChar>
      </w:r>
      <w:r w:rsidR="00655823">
        <w:instrText xml:space="preserve"> FORMTEXT </w:instrText>
      </w:r>
      <w:r w:rsidR="00655823">
        <w:fldChar w:fldCharType="separate"/>
      </w:r>
      <w:r w:rsidR="00655823">
        <w:rPr>
          <w:noProof/>
        </w:rPr>
        <w:t>20.01.2026</w:t>
      </w:r>
      <w:r w:rsidR="00655823">
        <w:fldChar w:fldCharType="end"/>
      </w:r>
      <w:r w:rsidR="004D05FD">
        <w:t xml:space="preserve"> </w:t>
      </w:r>
      <w:r w:rsidR="004D05FD" w:rsidRPr="00127D3B">
        <w:rPr>
          <w:rFonts w:cs="Arial"/>
          <w:color w:val="000000"/>
          <w:lang w:eastAsia="zh-CN"/>
        </w:rPr>
        <w:t xml:space="preserve">till </w:t>
      </w:r>
      <w:r w:rsidR="008140FF">
        <w:fldChar w:fldCharType="begin">
          <w:ffData>
            <w:name w:val=""/>
            <w:enabled/>
            <w:calcOnExit w:val="0"/>
            <w:textInput>
              <w:default w:val="31.12.2026"/>
            </w:textInput>
          </w:ffData>
        </w:fldChar>
      </w:r>
      <w:r w:rsidR="008140FF">
        <w:instrText xml:space="preserve"> FORMTEXT </w:instrText>
      </w:r>
      <w:r w:rsidR="008140FF">
        <w:fldChar w:fldCharType="separate"/>
      </w:r>
      <w:r w:rsidR="008140FF">
        <w:rPr>
          <w:noProof/>
        </w:rPr>
        <w:t>31.12.2026</w:t>
      </w:r>
      <w:r w:rsidR="008140FF">
        <w:fldChar w:fldCharType="end"/>
      </w:r>
      <w:r w:rsidR="004D05FD">
        <w:t>.</w:t>
      </w:r>
    </w:p>
    <w:p w14:paraId="310FC902" w14:textId="77777777" w:rsidR="001516C2" w:rsidRPr="00AC6C67" w:rsidRDefault="001516C2" w:rsidP="001516C2">
      <w:pPr>
        <w:pStyle w:val="ZulschenderText"/>
        <w:jc w:val="both"/>
        <w:rPr>
          <w:i w:val="0"/>
          <w:iCs/>
          <w:color w:val="000000" w:themeColor="text1"/>
        </w:rPr>
      </w:pPr>
      <w:r w:rsidRPr="00AC6C67">
        <w:rPr>
          <w:i w:val="0"/>
          <w:iCs/>
          <w:color w:val="000000" w:themeColor="text1"/>
        </w:rPr>
        <w:t>Due to the reason that all site visits will be performed at critical infrastructure places of the Ukraine partners, the consultant must ensure a high confidentially of visited sites and collected information. The consultant only hand over the results to GIZ and it is forbidden to discuss the operation and the results with third parties.</w:t>
      </w:r>
    </w:p>
    <w:p w14:paraId="53F4BFC1" w14:textId="3A4DEAE2" w:rsidR="00E17DF0" w:rsidRPr="00D93EF8" w:rsidRDefault="00087999" w:rsidP="00696913">
      <w:pPr>
        <w:pStyle w:val="ListParagraph"/>
        <w:numPr>
          <w:ilvl w:val="1"/>
          <w:numId w:val="5"/>
        </w:numPr>
        <w:jc w:val="both"/>
        <w:rPr>
          <w:rStyle w:val="Heading1Char"/>
          <w:b w:val="0"/>
          <w:lang w:val="uk-UA"/>
        </w:rPr>
      </w:pPr>
      <w:r w:rsidRPr="00087999">
        <w:rPr>
          <w:b/>
        </w:rPr>
        <w:t>Deliverables and Reporting:</w:t>
      </w:r>
    </w:p>
    <w:p w14:paraId="17D451DD" w14:textId="4C6DE074" w:rsidR="00825B21" w:rsidRPr="00D93EF8" w:rsidRDefault="00106D65" w:rsidP="00D93EF8">
      <w:pPr>
        <w:jc w:val="both"/>
        <w:rPr>
          <w:rFonts w:cs="Arial"/>
          <w:lang w:val="uk-UA"/>
        </w:rPr>
      </w:pPr>
      <w:r w:rsidRPr="00106D65">
        <w:rPr>
          <w:rFonts w:cs="Arial"/>
          <w:lang w:val="uk-UA"/>
        </w:rPr>
        <w:t>Contractors for each LOT will be responsible for the following</w:t>
      </w:r>
      <w:r w:rsidR="00087999" w:rsidRPr="00D93EF8">
        <w:rPr>
          <w:rFonts w:cs="Arial"/>
          <w:lang w:val="uk-UA"/>
        </w:rPr>
        <w:t>:</w:t>
      </w:r>
    </w:p>
    <w:tbl>
      <w:tblPr>
        <w:tblStyle w:val="TableGrid"/>
        <w:tblW w:w="9224" w:type="dxa"/>
        <w:jc w:val="center"/>
        <w:tblLayout w:type="fixed"/>
        <w:tblLook w:val="04A0" w:firstRow="1" w:lastRow="0" w:firstColumn="1" w:lastColumn="0" w:noHBand="0" w:noVBand="1"/>
      </w:tblPr>
      <w:tblGrid>
        <w:gridCol w:w="3964"/>
        <w:gridCol w:w="3828"/>
        <w:gridCol w:w="1432"/>
      </w:tblGrid>
      <w:tr w:rsidR="00087999" w:rsidRPr="00877A22" w14:paraId="3C5356B2" w14:textId="77777777" w:rsidTr="00493E70">
        <w:trPr>
          <w:trHeight w:val="510"/>
          <w:jc w:val="center"/>
        </w:trPr>
        <w:tc>
          <w:tcPr>
            <w:tcW w:w="3964" w:type="dxa"/>
          </w:tcPr>
          <w:p w14:paraId="50F4A3E8" w14:textId="77777777" w:rsidR="00087999" w:rsidRPr="00127D3B" w:rsidRDefault="00087999" w:rsidP="00127D3B">
            <w:pPr>
              <w:spacing w:after="0"/>
              <w:contextualSpacing/>
              <w:jc w:val="both"/>
              <w:rPr>
                <w:rFonts w:cs="Arial"/>
                <w:b/>
                <w:bCs/>
                <w:sz w:val="22"/>
                <w:szCs w:val="22"/>
                <w:lang w:val="uk-UA"/>
              </w:rPr>
            </w:pPr>
            <w:r w:rsidRPr="00127D3B">
              <w:rPr>
                <w:rFonts w:cs="Arial"/>
                <w:b/>
                <w:bCs/>
                <w:sz w:val="22"/>
                <w:szCs w:val="22"/>
              </w:rPr>
              <w:t>Reporting/ Deliverable #</w:t>
            </w:r>
          </w:p>
        </w:tc>
        <w:tc>
          <w:tcPr>
            <w:tcW w:w="3828" w:type="dxa"/>
          </w:tcPr>
          <w:p w14:paraId="5440CD40" w14:textId="77777777" w:rsidR="00087999" w:rsidRPr="00127D3B" w:rsidRDefault="00087999" w:rsidP="00127D3B">
            <w:pPr>
              <w:spacing w:after="0"/>
              <w:contextualSpacing/>
              <w:jc w:val="both"/>
              <w:rPr>
                <w:rFonts w:cs="Arial"/>
                <w:b/>
                <w:sz w:val="22"/>
                <w:szCs w:val="22"/>
              </w:rPr>
            </w:pPr>
            <w:r w:rsidRPr="00127D3B">
              <w:rPr>
                <w:rFonts w:cs="Arial"/>
                <w:b/>
                <w:sz w:val="22"/>
                <w:szCs w:val="22"/>
              </w:rPr>
              <w:t>Requirements to the format</w:t>
            </w:r>
          </w:p>
        </w:tc>
        <w:tc>
          <w:tcPr>
            <w:tcW w:w="1432" w:type="dxa"/>
          </w:tcPr>
          <w:p w14:paraId="550F0583" w14:textId="77777777" w:rsidR="00087999" w:rsidRPr="00127D3B" w:rsidRDefault="00087999" w:rsidP="00127D3B">
            <w:pPr>
              <w:spacing w:after="0"/>
              <w:contextualSpacing/>
              <w:jc w:val="both"/>
              <w:rPr>
                <w:rFonts w:cs="Arial"/>
                <w:b/>
                <w:bCs/>
                <w:sz w:val="22"/>
                <w:szCs w:val="22"/>
              </w:rPr>
            </w:pPr>
            <w:r w:rsidRPr="00127D3B">
              <w:rPr>
                <w:rFonts w:cs="Arial"/>
                <w:b/>
                <w:bCs/>
                <w:sz w:val="22"/>
                <w:szCs w:val="22"/>
              </w:rPr>
              <w:t>Anticipated period, by</w:t>
            </w:r>
          </w:p>
        </w:tc>
      </w:tr>
      <w:tr w:rsidR="00087999" w:rsidRPr="00877A22" w14:paraId="779C08D4" w14:textId="77777777" w:rsidTr="00493E70">
        <w:trPr>
          <w:trHeight w:val="330"/>
          <w:jc w:val="center"/>
        </w:trPr>
        <w:tc>
          <w:tcPr>
            <w:tcW w:w="3964" w:type="dxa"/>
          </w:tcPr>
          <w:p w14:paraId="47FABC73" w14:textId="502710E0" w:rsidR="00087999" w:rsidRPr="0057641F" w:rsidRDefault="00493E70" w:rsidP="00127D3B">
            <w:pPr>
              <w:spacing w:after="0"/>
              <w:contextualSpacing/>
              <w:jc w:val="both"/>
              <w:rPr>
                <w:rFonts w:cs="Arial"/>
                <w:lang w:val="en-US"/>
              </w:rPr>
            </w:pPr>
            <w:r w:rsidRPr="0057641F">
              <w:rPr>
                <w:rFonts w:cs="Arial"/>
              </w:rPr>
              <w:t xml:space="preserve">Results of assessment of selected </w:t>
            </w:r>
            <w:r w:rsidRPr="0057641F">
              <w:rPr>
                <w:rFonts w:cs="Arial"/>
                <w:lang w:val="en-US"/>
              </w:rPr>
              <w:t>partners</w:t>
            </w:r>
          </w:p>
        </w:tc>
        <w:tc>
          <w:tcPr>
            <w:tcW w:w="3828" w:type="dxa"/>
          </w:tcPr>
          <w:p w14:paraId="791C58C6" w14:textId="4030CF63" w:rsidR="00087999" w:rsidRPr="0057641F" w:rsidRDefault="00493E70" w:rsidP="00127D3B">
            <w:pPr>
              <w:spacing w:after="0"/>
              <w:contextualSpacing/>
              <w:jc w:val="both"/>
              <w:rPr>
                <w:rFonts w:cs="Arial"/>
                <w:bCs/>
              </w:rPr>
            </w:pPr>
            <w:r w:rsidRPr="0057641F">
              <w:rPr>
                <w:rFonts w:cs="Arial"/>
                <w:bCs/>
              </w:rPr>
              <w:t>Assessment reports, Pdf file</w:t>
            </w:r>
            <w:r w:rsidR="00C12797" w:rsidRPr="0057641F">
              <w:rPr>
                <w:rFonts w:cs="Arial"/>
                <w:bCs/>
              </w:rPr>
              <w:t>s</w:t>
            </w:r>
            <w:r w:rsidRPr="0057641F">
              <w:rPr>
                <w:rFonts w:cs="Arial"/>
                <w:bCs/>
              </w:rPr>
              <w:t xml:space="preserve"> (UA/ENG), photo (jpeg)</w:t>
            </w:r>
          </w:p>
        </w:tc>
        <w:tc>
          <w:tcPr>
            <w:tcW w:w="1432" w:type="dxa"/>
          </w:tcPr>
          <w:p w14:paraId="4F868B55" w14:textId="3E33AD6D" w:rsidR="00087999" w:rsidRPr="0057641F" w:rsidRDefault="00493E70" w:rsidP="00127D3B">
            <w:pPr>
              <w:spacing w:after="0"/>
              <w:contextualSpacing/>
              <w:jc w:val="both"/>
              <w:rPr>
                <w:rFonts w:cs="Arial"/>
                <w:bCs/>
              </w:rPr>
            </w:pPr>
            <w:r w:rsidRPr="0057641F">
              <w:rPr>
                <w:rFonts w:cs="Arial"/>
                <w:bCs/>
              </w:rPr>
              <w:t>31.01.2026</w:t>
            </w:r>
          </w:p>
        </w:tc>
      </w:tr>
      <w:tr w:rsidR="00087999" w:rsidRPr="00877A22" w14:paraId="7837DED5" w14:textId="77777777" w:rsidTr="00493E70">
        <w:trPr>
          <w:trHeight w:val="315"/>
          <w:jc w:val="center"/>
        </w:trPr>
        <w:tc>
          <w:tcPr>
            <w:tcW w:w="3964" w:type="dxa"/>
          </w:tcPr>
          <w:p w14:paraId="6FA21B41" w14:textId="2A25C2DC" w:rsidR="00087999" w:rsidRPr="0057641F" w:rsidRDefault="00493E70" w:rsidP="00493E70">
            <w:pPr>
              <w:spacing w:after="0"/>
              <w:contextualSpacing/>
              <w:rPr>
                <w:rFonts w:cs="Arial"/>
              </w:rPr>
            </w:pPr>
            <w:r w:rsidRPr="0057641F">
              <w:rPr>
                <w:rFonts w:cs="Arial"/>
              </w:rPr>
              <w:t>Procurement lists (3 standard packages) with neutral technical specifications</w:t>
            </w:r>
          </w:p>
        </w:tc>
        <w:tc>
          <w:tcPr>
            <w:tcW w:w="3828" w:type="dxa"/>
          </w:tcPr>
          <w:p w14:paraId="38FC7E6E" w14:textId="1EF5364C" w:rsidR="00087999" w:rsidRPr="0057641F" w:rsidRDefault="00C12797" w:rsidP="00127D3B">
            <w:pPr>
              <w:spacing w:after="0"/>
              <w:contextualSpacing/>
              <w:jc w:val="both"/>
              <w:rPr>
                <w:rFonts w:cs="Arial"/>
                <w:bCs/>
              </w:rPr>
            </w:pPr>
            <w:r w:rsidRPr="0057641F">
              <w:rPr>
                <w:rFonts w:cs="Arial"/>
                <w:bCs/>
              </w:rPr>
              <w:t>Excel files (UA/ENG)</w:t>
            </w:r>
          </w:p>
        </w:tc>
        <w:tc>
          <w:tcPr>
            <w:tcW w:w="1432" w:type="dxa"/>
          </w:tcPr>
          <w:p w14:paraId="498B1881" w14:textId="49B6EEB4" w:rsidR="00087999" w:rsidRPr="0057641F" w:rsidRDefault="0057641F" w:rsidP="00127D3B">
            <w:pPr>
              <w:spacing w:after="0"/>
              <w:contextualSpacing/>
              <w:jc w:val="both"/>
              <w:rPr>
                <w:rFonts w:cs="Arial"/>
                <w:bCs/>
              </w:rPr>
            </w:pPr>
            <w:r w:rsidRPr="0057641F">
              <w:t>20.02.2026</w:t>
            </w:r>
          </w:p>
        </w:tc>
      </w:tr>
      <w:tr w:rsidR="00087999" w:rsidRPr="00877A22" w14:paraId="23AFFC27" w14:textId="77777777" w:rsidTr="00493E70">
        <w:trPr>
          <w:trHeight w:val="225"/>
          <w:jc w:val="center"/>
        </w:trPr>
        <w:tc>
          <w:tcPr>
            <w:tcW w:w="3964" w:type="dxa"/>
          </w:tcPr>
          <w:p w14:paraId="0A9827CD" w14:textId="061139E1" w:rsidR="00087999" w:rsidRPr="0057641F" w:rsidRDefault="00493E70" w:rsidP="00493E70">
            <w:pPr>
              <w:spacing w:after="0"/>
              <w:contextualSpacing/>
              <w:rPr>
                <w:rFonts w:cs="Arial"/>
              </w:rPr>
            </w:pPr>
            <w:r w:rsidRPr="0057641F">
              <w:rPr>
                <w:rFonts w:cs="Arial"/>
              </w:rPr>
              <w:t>Market research o</w:t>
            </w:r>
            <w:r w:rsidR="00394123" w:rsidRPr="0057641F">
              <w:rPr>
                <w:rFonts w:cs="Arial"/>
              </w:rPr>
              <w:t>n</w:t>
            </w:r>
            <w:r w:rsidRPr="0057641F">
              <w:rPr>
                <w:rFonts w:cs="Arial"/>
              </w:rPr>
              <w:t xml:space="preserve"> prices and availability on the market</w:t>
            </w:r>
          </w:p>
        </w:tc>
        <w:tc>
          <w:tcPr>
            <w:tcW w:w="3828" w:type="dxa"/>
          </w:tcPr>
          <w:p w14:paraId="0A3B98AD" w14:textId="735DEC33" w:rsidR="00087999" w:rsidRPr="0057641F" w:rsidRDefault="00C12797" w:rsidP="00127D3B">
            <w:pPr>
              <w:spacing w:after="0"/>
              <w:contextualSpacing/>
              <w:jc w:val="both"/>
              <w:rPr>
                <w:rFonts w:cs="Arial"/>
                <w:bCs/>
              </w:rPr>
            </w:pPr>
            <w:r w:rsidRPr="0057641F">
              <w:rPr>
                <w:rFonts w:cs="Arial"/>
                <w:bCs/>
              </w:rPr>
              <w:t>Pdf files (UA/ENG)</w:t>
            </w:r>
          </w:p>
        </w:tc>
        <w:tc>
          <w:tcPr>
            <w:tcW w:w="1432" w:type="dxa"/>
          </w:tcPr>
          <w:p w14:paraId="2B5CD6FA" w14:textId="09F04809" w:rsidR="00087999" w:rsidRPr="0057641F" w:rsidRDefault="0057641F" w:rsidP="00127D3B">
            <w:pPr>
              <w:spacing w:after="0"/>
              <w:contextualSpacing/>
              <w:jc w:val="both"/>
              <w:rPr>
                <w:rFonts w:cs="Arial"/>
                <w:bCs/>
              </w:rPr>
            </w:pPr>
            <w:r w:rsidRPr="0057641F">
              <w:t>20.02.2026</w:t>
            </w:r>
          </w:p>
        </w:tc>
      </w:tr>
      <w:tr w:rsidR="00087999" w:rsidRPr="00877A22" w14:paraId="1547B044" w14:textId="77777777" w:rsidTr="00493E70">
        <w:trPr>
          <w:trHeight w:val="264"/>
          <w:jc w:val="center"/>
        </w:trPr>
        <w:tc>
          <w:tcPr>
            <w:tcW w:w="3964" w:type="dxa"/>
          </w:tcPr>
          <w:p w14:paraId="35667988" w14:textId="282C8CEC" w:rsidR="00087999" w:rsidRPr="0057641F" w:rsidRDefault="00C12797" w:rsidP="00127D3B">
            <w:pPr>
              <w:spacing w:after="0"/>
              <w:contextualSpacing/>
              <w:jc w:val="both"/>
              <w:rPr>
                <w:rFonts w:cs="Arial"/>
              </w:rPr>
            </w:pPr>
            <w:r w:rsidRPr="0057641F">
              <w:rPr>
                <w:rFonts w:cs="Arial"/>
              </w:rPr>
              <w:lastRenderedPageBreak/>
              <w:t>Site reports with photos</w:t>
            </w:r>
          </w:p>
        </w:tc>
        <w:tc>
          <w:tcPr>
            <w:tcW w:w="3828" w:type="dxa"/>
          </w:tcPr>
          <w:p w14:paraId="37511592" w14:textId="7DA92E2B" w:rsidR="00087999" w:rsidRPr="0057641F" w:rsidRDefault="00C12797" w:rsidP="00127D3B">
            <w:pPr>
              <w:spacing w:after="0"/>
              <w:contextualSpacing/>
              <w:jc w:val="both"/>
              <w:rPr>
                <w:rFonts w:cs="Arial"/>
                <w:bCs/>
              </w:rPr>
            </w:pPr>
            <w:r w:rsidRPr="0057641F">
              <w:rPr>
                <w:rFonts w:cs="Arial"/>
                <w:bCs/>
              </w:rPr>
              <w:t>Pdf file (UA/ENG), photo (jpeg)</w:t>
            </w:r>
          </w:p>
        </w:tc>
        <w:tc>
          <w:tcPr>
            <w:tcW w:w="1432" w:type="dxa"/>
          </w:tcPr>
          <w:p w14:paraId="3CB56099" w14:textId="2BF0BE83" w:rsidR="00087999" w:rsidRPr="0057641F" w:rsidRDefault="0057641F" w:rsidP="00127D3B">
            <w:pPr>
              <w:spacing w:after="0"/>
              <w:contextualSpacing/>
              <w:jc w:val="both"/>
              <w:rPr>
                <w:rFonts w:cs="Arial"/>
                <w:bCs/>
              </w:rPr>
            </w:pPr>
            <w:r w:rsidRPr="0057641F">
              <w:t>30.11.2026</w:t>
            </w:r>
          </w:p>
        </w:tc>
      </w:tr>
    </w:tbl>
    <w:p w14:paraId="5CB8844A" w14:textId="77777777" w:rsidR="00A460FE" w:rsidRPr="00A460FE" w:rsidRDefault="00A460FE" w:rsidP="00127D3B">
      <w:pPr>
        <w:pStyle w:val="ListParagraph"/>
        <w:ind w:left="0"/>
        <w:jc w:val="both"/>
        <w:rPr>
          <w:rStyle w:val="Heading1Char"/>
          <w:b w:val="0"/>
          <w:i/>
        </w:rPr>
      </w:pPr>
    </w:p>
    <w:p w14:paraId="63FD79C8" w14:textId="1C7EE07C" w:rsidR="00ED7487" w:rsidRPr="009D4E76" w:rsidRDefault="00A37364" w:rsidP="00696913">
      <w:pPr>
        <w:pStyle w:val="ListParagraph"/>
        <w:numPr>
          <w:ilvl w:val="0"/>
          <w:numId w:val="5"/>
        </w:numPr>
        <w:tabs>
          <w:tab w:val="left" w:pos="284"/>
        </w:tabs>
        <w:ind w:left="0" w:firstLine="0"/>
        <w:jc w:val="both"/>
        <w:rPr>
          <w:rStyle w:val="Heading1Char"/>
          <w:b w:val="0"/>
          <w:i/>
        </w:rPr>
      </w:pPr>
      <w:r>
        <w:rPr>
          <w:rStyle w:val="Heading1Char"/>
        </w:rPr>
        <w:t>Concept</w:t>
      </w:r>
      <w:bookmarkEnd w:id="23"/>
      <w:bookmarkEnd w:id="24"/>
      <w:bookmarkEnd w:id="25"/>
      <w:bookmarkEnd w:id="26"/>
      <w:bookmarkEnd w:id="27"/>
      <w:bookmarkEnd w:id="28"/>
      <w:bookmarkEnd w:id="29"/>
      <w:bookmarkEnd w:id="30"/>
      <w:r w:rsidR="00E80A31">
        <w:rPr>
          <w:rStyle w:val="Heading1Char"/>
        </w:rPr>
        <w:t xml:space="preserve"> (technical-methodological </w:t>
      </w:r>
      <w:r w:rsidR="00E80A31" w:rsidRPr="009D4E76">
        <w:rPr>
          <w:rStyle w:val="Heading1Char"/>
        </w:rPr>
        <w:t>design)</w:t>
      </w:r>
      <w:r w:rsidR="00106D65" w:rsidRPr="009D4E76">
        <w:rPr>
          <w:rStyle w:val="Heading1Char"/>
          <w:lang w:val="uk-UA"/>
        </w:rPr>
        <w:t xml:space="preserve"> </w:t>
      </w:r>
      <w:r w:rsidR="00106D65" w:rsidRPr="009D4E76">
        <w:rPr>
          <w:rStyle w:val="Heading1Char"/>
        </w:rPr>
        <w:t xml:space="preserve">- </w:t>
      </w:r>
      <w:r w:rsidR="00106D65" w:rsidRPr="009D4E76">
        <w:rPr>
          <w:rStyle w:val="Heading1Char"/>
          <w:lang w:val="en-US"/>
        </w:rPr>
        <w:t>not relevant</w:t>
      </w:r>
    </w:p>
    <w:p w14:paraId="09CE9F44" w14:textId="52933099" w:rsidR="00312415" w:rsidRPr="009D4E76" w:rsidRDefault="00325404" w:rsidP="00696913">
      <w:pPr>
        <w:pStyle w:val="ListParagraph"/>
        <w:numPr>
          <w:ilvl w:val="0"/>
          <w:numId w:val="5"/>
        </w:numPr>
        <w:tabs>
          <w:tab w:val="left" w:pos="284"/>
        </w:tabs>
        <w:ind w:left="0" w:firstLine="0"/>
        <w:jc w:val="both"/>
        <w:rPr>
          <w:b/>
        </w:rPr>
      </w:pPr>
      <w:bookmarkStart w:id="31" w:name="_Toc119492755"/>
      <w:bookmarkStart w:id="32" w:name="_Toc119492800"/>
      <w:bookmarkStart w:id="33" w:name="_Toc119492849"/>
      <w:bookmarkStart w:id="34" w:name="_Toc119492965"/>
      <w:bookmarkStart w:id="35" w:name="_Toc119493053"/>
      <w:bookmarkStart w:id="36" w:name="_Toc119493203"/>
      <w:bookmarkStart w:id="37" w:name="_Toc119493827"/>
      <w:bookmarkStart w:id="38" w:name="_Ref508122918"/>
      <w:bookmarkStart w:id="39" w:name="_Ref508122930"/>
      <w:bookmarkStart w:id="40" w:name="_Toc508620005"/>
      <w:bookmarkStart w:id="41" w:name="_Toc119493828"/>
      <w:bookmarkStart w:id="42" w:name="_Toc127948115"/>
      <w:bookmarkEnd w:id="31"/>
      <w:bookmarkEnd w:id="32"/>
      <w:bookmarkEnd w:id="33"/>
      <w:bookmarkEnd w:id="34"/>
      <w:bookmarkEnd w:id="35"/>
      <w:bookmarkEnd w:id="36"/>
      <w:bookmarkEnd w:id="37"/>
      <w:r w:rsidRPr="009D4E76">
        <w:rPr>
          <w:rStyle w:val="Heading1Char"/>
        </w:rPr>
        <w:t>Personnel concept</w:t>
      </w:r>
      <w:bookmarkEnd w:id="38"/>
      <w:bookmarkEnd w:id="39"/>
      <w:bookmarkEnd w:id="40"/>
      <w:bookmarkEnd w:id="41"/>
      <w:bookmarkEnd w:id="42"/>
      <w:r w:rsidR="00E80A31" w:rsidRPr="009D4E76">
        <w:rPr>
          <w:rStyle w:val="Heading1Char"/>
        </w:rPr>
        <w:t xml:space="preserve"> (proposed staff) </w:t>
      </w:r>
    </w:p>
    <w:p w14:paraId="385F6C78" w14:textId="552BE9AF" w:rsidR="00155D73" w:rsidRDefault="00155D73" w:rsidP="00127D3B">
      <w:pPr>
        <w:jc w:val="both"/>
      </w:pPr>
      <w:r w:rsidRPr="009D4E76">
        <w:t xml:space="preserve">The </w:t>
      </w:r>
      <w:r w:rsidR="002A048B" w:rsidRPr="009D4E76">
        <w:t>Contractor</w:t>
      </w:r>
      <w:r w:rsidRPr="009D4E76">
        <w:t xml:space="preserve"> is required to provide personnel who are suited to filling the positions described, on the basis of their CVs (see Chapter </w:t>
      </w:r>
      <w:r w:rsidR="00F40FC7" w:rsidRPr="009D4E76">
        <w:t>1</w:t>
      </w:r>
      <w:r w:rsidR="00A74C40" w:rsidRPr="009D4E76">
        <w:rPr>
          <w:lang w:val="uk-UA"/>
        </w:rPr>
        <w:t>0</w:t>
      </w:r>
      <w:r w:rsidRPr="009D4E76">
        <w:t>), the</w:t>
      </w:r>
      <w:r>
        <w:t xml:space="preserve"> range of tasks involved and the required qualifications.</w:t>
      </w:r>
    </w:p>
    <w:p w14:paraId="46073926" w14:textId="7B60A879" w:rsidR="00BE10DA" w:rsidRPr="00BE10DA" w:rsidRDefault="00BE10DA" w:rsidP="00BE10DA">
      <w:pPr>
        <w:jc w:val="both"/>
        <w:rPr>
          <w:rFonts w:cs="Arial"/>
          <w:iCs/>
          <w:lang w:val="uk-UA"/>
        </w:rPr>
      </w:pPr>
      <w:r w:rsidRPr="00BE10DA">
        <w:rPr>
          <w:rFonts w:cs="Arial"/>
          <w:iCs/>
          <w:lang w:val="uk-UA"/>
        </w:rPr>
        <w:t xml:space="preserve">The Contractor </w:t>
      </w:r>
      <w:r w:rsidR="00D664FD">
        <w:rPr>
          <w:rFonts w:cs="Arial"/>
          <w:iCs/>
          <w:lang w:val="en-US"/>
        </w:rPr>
        <w:t xml:space="preserve">for each LOT </w:t>
      </w:r>
      <w:r w:rsidRPr="00BE10DA">
        <w:rPr>
          <w:rFonts w:cs="Arial"/>
          <w:iCs/>
          <w:lang w:val="uk-UA"/>
        </w:rPr>
        <w:t xml:space="preserve">shall assign a team consisting of </w:t>
      </w:r>
      <w:r w:rsidR="00D53F35">
        <w:rPr>
          <w:rFonts w:cs="Arial"/>
          <w:iCs/>
          <w:lang w:val="en-US"/>
        </w:rPr>
        <w:t>2</w:t>
      </w:r>
      <w:r w:rsidRPr="00BE10DA">
        <w:rPr>
          <w:rFonts w:cs="Arial"/>
          <w:iCs/>
          <w:lang w:val="uk-UA"/>
        </w:rPr>
        <w:t xml:space="preserve"> experts (</w:t>
      </w:r>
      <w:r w:rsidR="002C263B">
        <w:rPr>
          <w:rFonts w:cs="Arial"/>
          <w:iCs/>
          <w:lang w:val="en-US"/>
        </w:rPr>
        <w:t>Expert 1 and Expert 2)</w:t>
      </w:r>
      <w:r w:rsidRPr="00BE10DA">
        <w:rPr>
          <w:rFonts w:cs="Arial"/>
          <w:iCs/>
          <w:lang w:val="uk-UA"/>
        </w:rPr>
        <w:t xml:space="preserve">. </w:t>
      </w:r>
    </w:p>
    <w:p w14:paraId="09110DF2" w14:textId="77777777" w:rsidR="00BE10DA" w:rsidRPr="00BE10DA" w:rsidRDefault="00BE10DA" w:rsidP="00BE10DA">
      <w:pPr>
        <w:jc w:val="both"/>
        <w:rPr>
          <w:rFonts w:cs="Arial"/>
          <w:iCs/>
          <w:lang w:val="uk-UA"/>
        </w:rPr>
      </w:pPr>
      <w:r w:rsidRPr="00BE10DA">
        <w:rPr>
          <w:rFonts w:cs="Arial"/>
          <w:iCs/>
          <w:lang w:val="uk-UA"/>
        </w:rPr>
        <w:t xml:space="preserve">The below specified qualifications represent the requirements to reach the maximum number of points in the technical assessment. </w:t>
      </w:r>
    </w:p>
    <w:p w14:paraId="3698714E" w14:textId="77777777" w:rsidR="009B3A07" w:rsidRPr="00E4198A" w:rsidRDefault="009B3A07" w:rsidP="009B3A07">
      <w:pPr>
        <w:jc w:val="both"/>
        <w:rPr>
          <w:rFonts w:cs="Arial"/>
          <w:lang w:val="en-US"/>
        </w:rPr>
      </w:pPr>
      <w:r w:rsidRPr="00E4198A">
        <w:rPr>
          <w:rFonts w:cs="Arial"/>
          <w:lang w:val="en-US"/>
        </w:rPr>
        <w:t>The personnel must be provided for all positions, otherwise, the bid will be disqualified. Each expert can hold only one position; multiple position holding is not permitted. </w:t>
      </w:r>
    </w:p>
    <w:p w14:paraId="113F827F" w14:textId="77777777" w:rsidR="009B3A07" w:rsidRPr="001261F8" w:rsidRDefault="009B3A07" w:rsidP="009B3A07">
      <w:pPr>
        <w:jc w:val="both"/>
      </w:pPr>
      <w:r>
        <w:t>The below specified qualifications represent the requirements to reach the maximum number of points in the technical assessment.</w:t>
      </w:r>
    </w:p>
    <w:p w14:paraId="6E50AD64" w14:textId="24F60F32" w:rsidR="00BE10DA" w:rsidRPr="00834933" w:rsidRDefault="00834933" w:rsidP="00BE10DA">
      <w:pPr>
        <w:jc w:val="both"/>
        <w:rPr>
          <w:rFonts w:cs="Arial"/>
          <w:iCs/>
          <w:lang w:val="en-US"/>
        </w:rPr>
      </w:pPr>
      <w:r>
        <w:rPr>
          <w:rFonts w:cs="Arial"/>
          <w:b/>
          <w:bCs/>
          <w:iCs/>
          <w:lang w:val="en-US"/>
        </w:rPr>
        <w:t>E</w:t>
      </w:r>
      <w:r w:rsidR="009D4E76">
        <w:rPr>
          <w:rFonts w:cs="Arial"/>
          <w:b/>
          <w:bCs/>
          <w:iCs/>
          <w:lang w:val="en-US"/>
        </w:rPr>
        <w:t>xpert 1</w:t>
      </w:r>
      <w:r>
        <w:rPr>
          <w:rFonts w:cs="Arial"/>
          <w:b/>
          <w:bCs/>
          <w:iCs/>
          <w:lang w:val="en-US"/>
        </w:rPr>
        <w:t xml:space="preserve"> </w:t>
      </w:r>
      <w:r>
        <w:rPr>
          <w:rFonts w:cs="Arial"/>
          <w:iCs/>
          <w:lang w:val="en-US"/>
        </w:rPr>
        <w:t>(key expert)</w:t>
      </w:r>
    </w:p>
    <w:p w14:paraId="2818C32D" w14:textId="0A9C41E1" w:rsidR="00BE10DA" w:rsidRPr="000B5463" w:rsidRDefault="00BE10DA" w:rsidP="00BE10DA">
      <w:pPr>
        <w:jc w:val="both"/>
        <w:rPr>
          <w:rFonts w:cs="Arial"/>
          <w:iCs/>
          <w:u w:val="single"/>
          <w:lang w:val="en-US"/>
        </w:rPr>
      </w:pPr>
      <w:r w:rsidRPr="00D664FD">
        <w:rPr>
          <w:rFonts w:cs="Arial"/>
          <w:iCs/>
          <w:u w:val="single"/>
          <w:lang w:val="uk-UA"/>
        </w:rPr>
        <w:t>Tasks of the Expert 1</w:t>
      </w:r>
      <w:r w:rsidR="000B5463">
        <w:rPr>
          <w:rFonts w:cs="Arial"/>
          <w:iCs/>
          <w:u w:val="single"/>
          <w:lang w:val="en-US"/>
        </w:rPr>
        <w:t>:</w:t>
      </w:r>
    </w:p>
    <w:p w14:paraId="16140530" w14:textId="0CFBDE28" w:rsidR="00BE10DA" w:rsidRPr="00BE10DA" w:rsidRDefault="0045698D" w:rsidP="00BE10DA">
      <w:pPr>
        <w:jc w:val="both"/>
        <w:rPr>
          <w:rFonts w:cs="Arial"/>
          <w:iCs/>
          <w:lang w:val="uk-UA"/>
        </w:rPr>
      </w:pPr>
      <w:r w:rsidRPr="0045698D">
        <w:rPr>
          <w:rFonts w:cs="Arial"/>
          <w:iCs/>
          <w:lang w:val="uk-UA"/>
        </w:rPr>
        <w:t xml:space="preserve">Expert 1 </w:t>
      </w:r>
      <w:r w:rsidR="00BE10DA" w:rsidRPr="00BE10DA">
        <w:rPr>
          <w:rFonts w:cs="Arial"/>
          <w:iCs/>
          <w:lang w:val="uk-UA"/>
        </w:rPr>
        <w:t xml:space="preserve">should be employed by the company for all work to be carried out. </w:t>
      </w:r>
    </w:p>
    <w:p w14:paraId="3E2EDDBB" w14:textId="317834E7" w:rsidR="00BE10DA" w:rsidRPr="00BE10DA" w:rsidRDefault="0045698D" w:rsidP="00BE10DA">
      <w:pPr>
        <w:jc w:val="both"/>
        <w:rPr>
          <w:rFonts w:cs="Arial"/>
          <w:iCs/>
          <w:lang w:val="uk-UA"/>
        </w:rPr>
      </w:pPr>
      <w:r>
        <w:rPr>
          <w:rFonts w:cs="Arial"/>
          <w:iCs/>
          <w:lang w:val="en-US"/>
        </w:rPr>
        <w:t xml:space="preserve">Expert 1 </w:t>
      </w:r>
      <w:r w:rsidR="00BE10DA" w:rsidRPr="00BE10DA">
        <w:rPr>
          <w:rFonts w:cs="Arial"/>
          <w:iCs/>
          <w:lang w:val="uk-UA"/>
        </w:rPr>
        <w:t xml:space="preserve">should take on the role of the lead expert for tasks described in Chapter 2; this would require a clear statement of availability of the expert according to the resources needed to perform all activities. </w:t>
      </w:r>
      <w:r w:rsidR="00EE5255">
        <w:rPr>
          <w:rFonts w:cs="Arial"/>
          <w:iCs/>
          <w:lang w:val="en-US"/>
        </w:rPr>
        <w:t xml:space="preserve">Expert 1 </w:t>
      </w:r>
      <w:r w:rsidR="00BE10DA" w:rsidRPr="00BE10DA">
        <w:rPr>
          <w:rFonts w:cs="Arial"/>
          <w:iCs/>
          <w:lang w:val="uk-UA"/>
        </w:rPr>
        <w:t>is responsible as well for general coordination and communication, also is backstopper for all activities by supplier.</w:t>
      </w:r>
      <w:r w:rsidR="00496948" w:rsidRPr="00496948">
        <w:t xml:space="preserve"> </w:t>
      </w:r>
      <w:r w:rsidR="00496948" w:rsidRPr="00496948">
        <w:rPr>
          <w:rFonts w:cs="Arial"/>
          <w:iCs/>
          <w:lang w:val="uk-UA"/>
        </w:rPr>
        <w:t>The time required for this must be included in the man-days calculation.</w:t>
      </w:r>
    </w:p>
    <w:p w14:paraId="26FD2A93" w14:textId="77777777" w:rsidR="00BE10DA" w:rsidRPr="00BE10DA" w:rsidRDefault="00BE10DA" w:rsidP="00BE10DA">
      <w:pPr>
        <w:jc w:val="both"/>
        <w:rPr>
          <w:rFonts w:cs="Arial"/>
          <w:iCs/>
          <w:lang w:val="uk-UA"/>
        </w:rPr>
      </w:pPr>
      <w:r w:rsidRPr="00BE10DA">
        <w:rPr>
          <w:rFonts w:cs="Arial"/>
          <w:iCs/>
          <w:lang w:val="uk-UA"/>
        </w:rPr>
        <w:t>•</w:t>
      </w:r>
      <w:r w:rsidRPr="00BE10DA">
        <w:rPr>
          <w:rFonts w:cs="Arial"/>
          <w:iCs/>
          <w:lang w:val="uk-UA"/>
        </w:rPr>
        <w:tab/>
        <w:t>Overall responsibility for the tasks assigned (quality and deadlines);</w:t>
      </w:r>
    </w:p>
    <w:p w14:paraId="5957027F" w14:textId="77777777" w:rsidR="00BE10DA" w:rsidRPr="00BE10DA" w:rsidRDefault="00BE10DA" w:rsidP="00BE10DA">
      <w:pPr>
        <w:jc w:val="both"/>
        <w:rPr>
          <w:rFonts w:cs="Arial"/>
          <w:iCs/>
          <w:lang w:val="uk-UA"/>
        </w:rPr>
      </w:pPr>
      <w:r w:rsidRPr="00BE10DA">
        <w:rPr>
          <w:rFonts w:cs="Arial"/>
          <w:iCs/>
          <w:lang w:val="uk-UA"/>
        </w:rPr>
        <w:t>•</w:t>
      </w:r>
      <w:r w:rsidRPr="00BE10DA">
        <w:rPr>
          <w:rFonts w:cs="Arial"/>
          <w:iCs/>
          <w:lang w:val="uk-UA"/>
        </w:rPr>
        <w:tab/>
        <w:t>Coordinating and ensuring communication with GIZ, partners and others involved in the Project, as well as the expert organization;</w:t>
      </w:r>
    </w:p>
    <w:p w14:paraId="7A07ABB5" w14:textId="77777777" w:rsidR="00BE10DA" w:rsidRPr="00BE10DA" w:rsidRDefault="00BE10DA" w:rsidP="00BE10DA">
      <w:pPr>
        <w:jc w:val="both"/>
        <w:rPr>
          <w:rFonts w:cs="Arial"/>
          <w:iCs/>
          <w:lang w:val="uk-UA"/>
        </w:rPr>
      </w:pPr>
      <w:r w:rsidRPr="00BE10DA">
        <w:rPr>
          <w:rFonts w:cs="Arial"/>
          <w:iCs/>
          <w:lang w:val="uk-UA"/>
        </w:rPr>
        <w:t>•</w:t>
      </w:r>
      <w:r w:rsidRPr="00BE10DA">
        <w:rPr>
          <w:rFonts w:cs="Arial"/>
          <w:iCs/>
          <w:lang w:val="uk-UA"/>
        </w:rPr>
        <w:tab/>
        <w:t>Identifying the need for planning and steering assignments;</w:t>
      </w:r>
    </w:p>
    <w:p w14:paraId="13533C56" w14:textId="77777777" w:rsidR="00BE10DA" w:rsidRPr="00BE10DA" w:rsidRDefault="00BE10DA" w:rsidP="00BE10DA">
      <w:pPr>
        <w:jc w:val="both"/>
        <w:rPr>
          <w:rFonts w:cs="Arial"/>
          <w:iCs/>
          <w:lang w:val="uk-UA"/>
        </w:rPr>
      </w:pPr>
      <w:r w:rsidRPr="00BE10DA">
        <w:rPr>
          <w:rFonts w:cs="Arial"/>
          <w:iCs/>
          <w:lang w:val="uk-UA"/>
        </w:rPr>
        <w:t>•</w:t>
      </w:r>
      <w:r w:rsidRPr="00BE10DA">
        <w:rPr>
          <w:rFonts w:cs="Arial"/>
          <w:iCs/>
          <w:lang w:val="uk-UA"/>
        </w:rPr>
        <w:tab/>
        <w:t>Regular reporting in accordance with deadlines.</w:t>
      </w:r>
    </w:p>
    <w:p w14:paraId="7B3E7333" w14:textId="7DD4380C" w:rsidR="00BE10DA" w:rsidRPr="00BE10DA" w:rsidRDefault="00BE10DA" w:rsidP="00BE10DA">
      <w:pPr>
        <w:jc w:val="both"/>
        <w:rPr>
          <w:rFonts w:cs="Arial"/>
          <w:iCs/>
          <w:lang w:val="uk-UA"/>
        </w:rPr>
      </w:pPr>
      <w:r w:rsidRPr="00BE10DA">
        <w:rPr>
          <w:rFonts w:cs="Arial"/>
          <w:iCs/>
          <w:lang w:val="uk-UA"/>
        </w:rPr>
        <w:t xml:space="preserve">Qualifications of the </w:t>
      </w:r>
      <w:r w:rsidR="00F72387">
        <w:rPr>
          <w:rFonts w:cs="Arial"/>
          <w:iCs/>
          <w:lang w:val="en-US"/>
        </w:rPr>
        <w:t>Expert 1</w:t>
      </w:r>
    </w:p>
    <w:p w14:paraId="0FE83C37" w14:textId="358652B0" w:rsidR="003A3E11" w:rsidRPr="003A3E11" w:rsidRDefault="00BE10DA" w:rsidP="003A3E11">
      <w:pPr>
        <w:jc w:val="both"/>
        <w:rPr>
          <w:rFonts w:cs="Arial"/>
          <w:iCs/>
          <w:lang w:val="en-US"/>
        </w:rPr>
      </w:pPr>
      <w:r w:rsidRPr="00BE10DA">
        <w:rPr>
          <w:rFonts w:cs="Arial"/>
          <w:iCs/>
          <w:lang w:val="uk-UA"/>
        </w:rPr>
        <w:t>•</w:t>
      </w:r>
      <w:r w:rsidRPr="00BE10DA">
        <w:rPr>
          <w:rFonts w:cs="Arial"/>
          <w:iCs/>
          <w:lang w:val="uk-UA"/>
        </w:rPr>
        <w:tab/>
      </w:r>
      <w:bookmarkStart w:id="43" w:name="_Hlk217900989"/>
      <w:r w:rsidR="00151300" w:rsidRPr="00151300">
        <w:rPr>
          <w:rFonts w:cs="Arial"/>
          <w:iCs/>
          <w:lang w:val="uk-UA"/>
        </w:rPr>
        <w:t>Education (2.1.1): university degree (Bachelor/Master) i</w:t>
      </w:r>
      <w:r w:rsidR="00151300" w:rsidRPr="00757BB9">
        <w:rPr>
          <w:rFonts w:cs="Arial"/>
          <w:iCs/>
          <w:lang w:val="en-US"/>
        </w:rPr>
        <w:t>n</w:t>
      </w:r>
      <w:r w:rsidR="00151300" w:rsidRPr="00151300">
        <w:rPr>
          <w:rFonts w:cs="Arial"/>
          <w:iCs/>
          <w:lang w:val="uk-UA"/>
        </w:rPr>
        <w:t xml:space="preserve"> </w:t>
      </w:r>
      <w:r w:rsidR="003A3E11" w:rsidRPr="003A3E11">
        <w:rPr>
          <w:rFonts w:cs="Arial"/>
          <w:iCs/>
          <w:lang w:val="uk-UA"/>
        </w:rPr>
        <w:t xml:space="preserve">Engineer </w:t>
      </w:r>
      <w:r w:rsidR="00151300" w:rsidRPr="00757BB9">
        <w:rPr>
          <w:rFonts w:cs="Arial"/>
          <w:iCs/>
          <w:lang w:val="en-US"/>
        </w:rPr>
        <w:t>of</w:t>
      </w:r>
      <w:r w:rsidR="003A3E11" w:rsidRPr="003A3E11">
        <w:rPr>
          <w:rFonts w:cs="Arial"/>
          <w:iCs/>
          <w:lang w:val="uk-UA"/>
        </w:rPr>
        <w:t xml:space="preserve"> electric and/or heating systems (based on provided certificates)</w:t>
      </w:r>
      <w:r w:rsidR="003A3E11">
        <w:rPr>
          <w:rFonts w:cs="Arial"/>
          <w:iCs/>
          <w:lang w:val="en-US"/>
        </w:rPr>
        <w:t xml:space="preserve"> </w:t>
      </w:r>
      <w:bookmarkEnd w:id="43"/>
    </w:p>
    <w:p w14:paraId="508FFA68" w14:textId="54C24835" w:rsidR="003A3E11" w:rsidRPr="001D1009" w:rsidRDefault="003A3E11" w:rsidP="003A3E11">
      <w:pPr>
        <w:jc w:val="both"/>
        <w:rPr>
          <w:rFonts w:cs="Arial"/>
          <w:iCs/>
          <w:lang w:val="uk-UA"/>
        </w:rPr>
      </w:pPr>
      <w:r w:rsidRPr="00BE10DA">
        <w:rPr>
          <w:rFonts w:cs="Arial"/>
          <w:iCs/>
          <w:lang w:val="uk-UA"/>
        </w:rPr>
        <w:t>Language (2.1.</w:t>
      </w:r>
      <w:r>
        <w:rPr>
          <w:rFonts w:cs="Arial"/>
          <w:iCs/>
          <w:lang w:val="en-US"/>
        </w:rPr>
        <w:t>2</w:t>
      </w:r>
      <w:r w:rsidRPr="00BE10DA">
        <w:rPr>
          <w:rFonts w:cs="Arial"/>
          <w:iCs/>
          <w:lang w:val="uk-UA"/>
        </w:rPr>
        <w:t>): B2-level language proficiency in English Language, C2-level (native) language proficiency in Ukrainian Language</w:t>
      </w:r>
      <w:r w:rsidR="001D1009">
        <w:rPr>
          <w:rFonts w:cs="Arial"/>
          <w:iCs/>
          <w:lang w:val="uk-UA"/>
        </w:rPr>
        <w:t xml:space="preserve"> </w:t>
      </w:r>
      <w:r w:rsidR="001D1009" w:rsidRPr="00757BB9">
        <w:rPr>
          <w:rFonts w:cs="Arial"/>
          <w:i/>
          <w:lang w:val="uk-UA"/>
        </w:rPr>
        <w:t>(</w:t>
      </w:r>
      <w:r w:rsidR="009910C9" w:rsidRPr="00757BB9">
        <w:rPr>
          <w:rFonts w:cs="Arial"/>
          <w:i/>
        </w:rPr>
        <w:t>5 points per each language</w:t>
      </w:r>
      <w:r w:rsidR="001D1009" w:rsidRPr="00757BB9">
        <w:rPr>
          <w:rFonts w:cs="Arial"/>
          <w:i/>
          <w:lang w:val="uk-UA"/>
        </w:rPr>
        <w:t>)</w:t>
      </w:r>
    </w:p>
    <w:p w14:paraId="25D66211" w14:textId="539F834C" w:rsidR="00BE10DA" w:rsidRPr="00757BB9" w:rsidRDefault="00BE10DA" w:rsidP="003A3E11">
      <w:pPr>
        <w:pStyle w:val="ListParagraph"/>
        <w:numPr>
          <w:ilvl w:val="0"/>
          <w:numId w:val="9"/>
        </w:numPr>
        <w:jc w:val="both"/>
        <w:rPr>
          <w:rFonts w:cs="Arial"/>
          <w:iCs/>
          <w:lang w:val="uk-UA"/>
        </w:rPr>
      </w:pPr>
      <w:r w:rsidRPr="003A3E11">
        <w:rPr>
          <w:rFonts w:cs="Arial"/>
          <w:iCs/>
          <w:lang w:val="uk-UA"/>
        </w:rPr>
        <w:t>General professional experience (2.1.</w:t>
      </w:r>
      <w:r w:rsidR="003A3E11">
        <w:rPr>
          <w:rFonts w:cs="Arial"/>
          <w:iCs/>
          <w:lang w:val="en-US"/>
        </w:rPr>
        <w:t>3</w:t>
      </w:r>
      <w:r w:rsidRPr="003A3E11">
        <w:rPr>
          <w:rFonts w:cs="Arial"/>
          <w:iCs/>
          <w:lang w:val="uk-UA"/>
        </w:rPr>
        <w:t xml:space="preserve">): 10 years of professional experience in the design works and supervision of works for electrical high voltage or/and district heating systems </w:t>
      </w:r>
    </w:p>
    <w:p w14:paraId="2C7CE771" w14:textId="018C079A" w:rsidR="00BE10DA" w:rsidRPr="003A3E11" w:rsidRDefault="003A3E11" w:rsidP="003A3E11">
      <w:pPr>
        <w:jc w:val="both"/>
        <w:rPr>
          <w:rFonts w:cs="Arial"/>
          <w:iCs/>
          <w:lang w:val="uk-UA"/>
        </w:rPr>
      </w:pPr>
      <w:r w:rsidRPr="003A3E11">
        <w:rPr>
          <w:rFonts w:cs="Arial"/>
          <w:iCs/>
          <w:lang w:val="uk-UA"/>
        </w:rPr>
        <w:t xml:space="preserve">Qualified expert in electrical high voltage and/or heating systems based on provided certificates (2.1.4): </w:t>
      </w:r>
      <w:r w:rsidR="00BE10DA" w:rsidRPr="003A3E11">
        <w:rPr>
          <w:rFonts w:cs="Arial"/>
          <w:iCs/>
          <w:lang w:val="uk-UA"/>
        </w:rPr>
        <w:t>•</w:t>
      </w:r>
      <w:r w:rsidR="00BE10DA" w:rsidRPr="003A3E11">
        <w:rPr>
          <w:rFonts w:cs="Arial"/>
          <w:iCs/>
          <w:lang w:val="uk-UA"/>
        </w:rPr>
        <w:tab/>
        <w:t>Leadership/management experience (2.1.</w:t>
      </w:r>
      <w:r w:rsidRPr="003A3E11">
        <w:rPr>
          <w:rFonts w:cs="Arial"/>
          <w:iCs/>
          <w:lang w:val="en-US"/>
        </w:rPr>
        <w:t>5</w:t>
      </w:r>
      <w:r w:rsidR="00BE10DA" w:rsidRPr="003A3E11">
        <w:rPr>
          <w:rFonts w:cs="Arial"/>
          <w:iCs/>
          <w:lang w:val="uk-UA"/>
        </w:rPr>
        <w:t>): 5 years of management/leadership experience as project team leader or manager in a company</w:t>
      </w:r>
    </w:p>
    <w:p w14:paraId="21CEFCEF" w14:textId="6AB27AE2" w:rsidR="00BE10DA" w:rsidRPr="00450AAF" w:rsidRDefault="00BE10DA" w:rsidP="00BE10DA">
      <w:pPr>
        <w:jc w:val="both"/>
        <w:rPr>
          <w:rFonts w:cs="Arial"/>
          <w:iCs/>
          <w:lang w:val="en-US"/>
        </w:rPr>
      </w:pPr>
      <w:r w:rsidRPr="00834933">
        <w:rPr>
          <w:rFonts w:cs="Arial"/>
          <w:b/>
          <w:bCs/>
          <w:iCs/>
          <w:lang w:val="uk-UA"/>
        </w:rPr>
        <w:t xml:space="preserve">Expert 2 </w:t>
      </w:r>
      <w:r w:rsidR="000B5463">
        <w:rPr>
          <w:rFonts w:cs="Arial"/>
          <w:iCs/>
          <w:lang w:val="en-US"/>
        </w:rPr>
        <w:t>(key expert)</w:t>
      </w:r>
    </w:p>
    <w:p w14:paraId="1CCA2F66" w14:textId="7C45E316" w:rsidR="00BE10DA" w:rsidRPr="000B5463" w:rsidRDefault="00BE10DA" w:rsidP="00BE10DA">
      <w:pPr>
        <w:jc w:val="both"/>
        <w:rPr>
          <w:rFonts w:cs="Arial"/>
          <w:iCs/>
          <w:u w:val="single"/>
          <w:lang w:val="en-US"/>
        </w:rPr>
      </w:pPr>
      <w:r w:rsidRPr="00834933">
        <w:rPr>
          <w:rFonts w:cs="Arial"/>
          <w:iCs/>
          <w:u w:val="single"/>
          <w:lang w:val="uk-UA"/>
        </w:rPr>
        <w:lastRenderedPageBreak/>
        <w:t>Tasks of expert 2</w:t>
      </w:r>
      <w:r w:rsidR="000B5463">
        <w:rPr>
          <w:rFonts w:cs="Arial"/>
          <w:iCs/>
          <w:u w:val="single"/>
          <w:lang w:val="en-US"/>
        </w:rPr>
        <w:t>:</w:t>
      </w:r>
    </w:p>
    <w:p w14:paraId="0D1CDAF6" w14:textId="5B2D229E" w:rsidR="00BE10DA" w:rsidRPr="00F72387" w:rsidRDefault="00BE10DA" w:rsidP="00BE10DA">
      <w:pPr>
        <w:jc w:val="both"/>
        <w:rPr>
          <w:rFonts w:cs="Arial"/>
          <w:iCs/>
          <w:lang w:val="en-US"/>
        </w:rPr>
      </w:pPr>
      <w:r w:rsidRPr="00BE10DA">
        <w:rPr>
          <w:rFonts w:cs="Arial"/>
          <w:iCs/>
          <w:lang w:val="uk-UA"/>
        </w:rPr>
        <w:t xml:space="preserve">Expert 2  is responsible for technical support of </w:t>
      </w:r>
      <w:r w:rsidR="00F72387">
        <w:rPr>
          <w:rFonts w:cs="Arial"/>
          <w:iCs/>
          <w:lang w:val="en-US"/>
        </w:rPr>
        <w:t xml:space="preserve">Expert 1 </w:t>
      </w:r>
      <w:r w:rsidRPr="00BE10DA">
        <w:rPr>
          <w:rFonts w:cs="Arial"/>
          <w:iCs/>
          <w:lang w:val="uk-UA"/>
        </w:rPr>
        <w:t>for contract tasks</w:t>
      </w:r>
      <w:r w:rsidR="0069397D">
        <w:rPr>
          <w:rFonts w:cs="Arial"/>
          <w:iCs/>
          <w:lang w:val="en-US"/>
        </w:rPr>
        <w:t>:</w:t>
      </w:r>
    </w:p>
    <w:p w14:paraId="15F6B48B" w14:textId="77777777" w:rsidR="00F72387" w:rsidRPr="00BE10DA" w:rsidRDefault="00F72387" w:rsidP="00F72387">
      <w:pPr>
        <w:jc w:val="both"/>
        <w:rPr>
          <w:rFonts w:cs="Arial"/>
          <w:iCs/>
          <w:lang w:val="uk-UA"/>
        </w:rPr>
      </w:pPr>
      <w:r w:rsidRPr="00BE10DA">
        <w:rPr>
          <w:rFonts w:cs="Arial"/>
          <w:iCs/>
          <w:lang w:val="uk-UA"/>
        </w:rPr>
        <w:t>•</w:t>
      </w:r>
      <w:r w:rsidRPr="00BE10DA">
        <w:rPr>
          <w:rFonts w:cs="Arial"/>
          <w:iCs/>
          <w:lang w:val="uk-UA"/>
        </w:rPr>
        <w:tab/>
        <w:t>Overall responsibility for the tasks assigned (quality and deadlines);</w:t>
      </w:r>
    </w:p>
    <w:p w14:paraId="34790779" w14:textId="3FC2362B" w:rsidR="00F72387" w:rsidRPr="00BE10DA" w:rsidRDefault="00F72387" w:rsidP="00F72387">
      <w:pPr>
        <w:jc w:val="both"/>
        <w:rPr>
          <w:rFonts w:cs="Arial"/>
          <w:iCs/>
          <w:lang w:val="uk-UA"/>
        </w:rPr>
      </w:pPr>
      <w:r w:rsidRPr="00BE10DA">
        <w:rPr>
          <w:rFonts w:cs="Arial"/>
          <w:iCs/>
          <w:lang w:val="uk-UA"/>
        </w:rPr>
        <w:t>•</w:t>
      </w:r>
      <w:r w:rsidRPr="00BE10DA">
        <w:rPr>
          <w:rFonts w:cs="Arial"/>
          <w:iCs/>
          <w:lang w:val="uk-UA"/>
        </w:rPr>
        <w:tab/>
        <w:t>communication with GIZ, partners and others involved in the Project;</w:t>
      </w:r>
    </w:p>
    <w:p w14:paraId="222071AB" w14:textId="77777777" w:rsidR="00F72387" w:rsidRPr="00BE10DA" w:rsidRDefault="00F72387" w:rsidP="00F72387">
      <w:pPr>
        <w:jc w:val="both"/>
        <w:rPr>
          <w:rFonts w:cs="Arial"/>
          <w:iCs/>
          <w:lang w:val="uk-UA"/>
        </w:rPr>
      </w:pPr>
      <w:r w:rsidRPr="00BE10DA">
        <w:rPr>
          <w:rFonts w:cs="Arial"/>
          <w:iCs/>
          <w:lang w:val="uk-UA"/>
        </w:rPr>
        <w:t>•</w:t>
      </w:r>
      <w:r w:rsidRPr="00BE10DA">
        <w:rPr>
          <w:rFonts w:cs="Arial"/>
          <w:iCs/>
          <w:lang w:val="uk-UA"/>
        </w:rPr>
        <w:tab/>
        <w:t>Identifying the need for planning and steering assignments;</w:t>
      </w:r>
    </w:p>
    <w:p w14:paraId="51B57640" w14:textId="77777777" w:rsidR="00F72387" w:rsidRPr="00BE10DA" w:rsidRDefault="00F72387" w:rsidP="00F72387">
      <w:pPr>
        <w:jc w:val="both"/>
        <w:rPr>
          <w:rFonts w:cs="Arial"/>
          <w:iCs/>
          <w:lang w:val="uk-UA"/>
        </w:rPr>
      </w:pPr>
      <w:r w:rsidRPr="00BE10DA">
        <w:rPr>
          <w:rFonts w:cs="Arial"/>
          <w:iCs/>
          <w:lang w:val="uk-UA"/>
        </w:rPr>
        <w:t>•</w:t>
      </w:r>
      <w:r w:rsidRPr="00BE10DA">
        <w:rPr>
          <w:rFonts w:cs="Arial"/>
          <w:iCs/>
          <w:lang w:val="uk-UA"/>
        </w:rPr>
        <w:tab/>
        <w:t>Regular reporting in accordance with deadlines.</w:t>
      </w:r>
    </w:p>
    <w:p w14:paraId="14B7BAB3" w14:textId="65ECC0B0" w:rsidR="00BE10DA" w:rsidRPr="00D53F35" w:rsidRDefault="00BE10DA" w:rsidP="00BE10DA">
      <w:pPr>
        <w:jc w:val="both"/>
        <w:rPr>
          <w:rFonts w:cs="Arial"/>
          <w:iCs/>
          <w:lang w:val="en-US"/>
        </w:rPr>
      </w:pPr>
      <w:r w:rsidRPr="00BE10DA">
        <w:rPr>
          <w:rFonts w:cs="Arial"/>
          <w:iCs/>
          <w:lang w:val="uk-UA"/>
        </w:rPr>
        <w:t>Qualifications of expert 2</w:t>
      </w:r>
    </w:p>
    <w:p w14:paraId="39D38814" w14:textId="0576C6D5" w:rsidR="003A3E11" w:rsidRPr="003A3E11" w:rsidRDefault="00BE10DA" w:rsidP="00BE10DA">
      <w:pPr>
        <w:jc w:val="both"/>
        <w:rPr>
          <w:rFonts w:cs="Arial"/>
          <w:iCs/>
          <w:lang w:val="en-US"/>
        </w:rPr>
      </w:pPr>
      <w:r w:rsidRPr="00BE10DA">
        <w:rPr>
          <w:rFonts w:cs="Arial"/>
          <w:iCs/>
          <w:lang w:val="uk-UA"/>
        </w:rPr>
        <w:t>•</w:t>
      </w:r>
      <w:r w:rsidRPr="00BE10DA">
        <w:rPr>
          <w:rFonts w:cs="Arial"/>
          <w:iCs/>
          <w:lang w:val="uk-UA"/>
        </w:rPr>
        <w:tab/>
      </w:r>
      <w:r w:rsidR="00151300" w:rsidRPr="00151300">
        <w:rPr>
          <w:rFonts w:cs="Arial"/>
          <w:iCs/>
          <w:lang w:val="uk-UA"/>
        </w:rPr>
        <w:t>Education (2.</w:t>
      </w:r>
      <w:r w:rsidR="00151300">
        <w:rPr>
          <w:rFonts w:cs="Arial"/>
          <w:iCs/>
          <w:lang w:val="en-US"/>
        </w:rPr>
        <w:t>2</w:t>
      </w:r>
      <w:r w:rsidR="00151300" w:rsidRPr="00151300">
        <w:rPr>
          <w:rFonts w:cs="Arial"/>
          <w:iCs/>
          <w:lang w:val="uk-UA"/>
        </w:rPr>
        <w:t xml:space="preserve">.1): university degree (Bachelor/Master) in Engineer of electric and/or heating systems (based on provided certificates) </w:t>
      </w:r>
    </w:p>
    <w:p w14:paraId="1CC76E51" w14:textId="38B69A45" w:rsidR="003A3E11" w:rsidRPr="00757BB9" w:rsidRDefault="003A3E11" w:rsidP="00BE10DA">
      <w:pPr>
        <w:jc w:val="both"/>
        <w:rPr>
          <w:rFonts w:cs="Arial"/>
          <w:iCs/>
          <w:lang w:val="uk-UA"/>
        </w:rPr>
      </w:pPr>
      <w:r w:rsidRPr="003A3E11">
        <w:rPr>
          <w:rFonts w:cs="Arial"/>
          <w:iCs/>
          <w:lang w:val="uk-UA"/>
        </w:rPr>
        <w:t>Language (2.</w:t>
      </w:r>
      <w:r>
        <w:rPr>
          <w:rFonts w:cs="Arial"/>
          <w:iCs/>
          <w:lang w:val="en-US"/>
        </w:rPr>
        <w:t>2</w:t>
      </w:r>
      <w:r w:rsidRPr="003A3E11">
        <w:rPr>
          <w:rFonts w:cs="Arial"/>
          <w:iCs/>
          <w:lang w:val="uk-UA"/>
        </w:rPr>
        <w:t>.2): B1-level language proficiency in German or English Language, C2-level (native) language proficiency in Ukrainian Language</w:t>
      </w:r>
      <w:r w:rsidR="009910C9">
        <w:rPr>
          <w:rFonts w:cs="Arial"/>
          <w:iCs/>
          <w:lang w:val="en-US"/>
        </w:rPr>
        <w:t xml:space="preserve"> </w:t>
      </w:r>
      <w:r w:rsidR="001D1009">
        <w:rPr>
          <w:rFonts w:cs="Arial"/>
          <w:iCs/>
          <w:lang w:val="uk-UA"/>
        </w:rPr>
        <w:t>(</w:t>
      </w:r>
      <w:r w:rsidR="009910C9" w:rsidRPr="00757BB9">
        <w:rPr>
          <w:rFonts w:cs="Arial"/>
          <w:i/>
        </w:rPr>
        <w:t>5 points per each language</w:t>
      </w:r>
      <w:r w:rsidR="001D1009">
        <w:rPr>
          <w:rFonts w:cs="Arial"/>
          <w:i/>
          <w:lang w:val="uk-UA"/>
        </w:rPr>
        <w:t>)</w:t>
      </w:r>
    </w:p>
    <w:p w14:paraId="67820E76" w14:textId="1360018B" w:rsidR="00BE10DA" w:rsidRPr="00BE10DA" w:rsidRDefault="00BE10DA" w:rsidP="00BE10DA">
      <w:pPr>
        <w:jc w:val="both"/>
        <w:rPr>
          <w:rFonts w:cs="Arial"/>
          <w:iCs/>
          <w:lang w:val="uk-UA"/>
        </w:rPr>
      </w:pPr>
      <w:r w:rsidRPr="00BE10DA">
        <w:rPr>
          <w:rFonts w:cs="Arial"/>
          <w:iCs/>
          <w:lang w:val="uk-UA"/>
        </w:rPr>
        <w:t>General professional experience (</w:t>
      </w:r>
      <w:r w:rsidR="003A3E11">
        <w:rPr>
          <w:rFonts w:cs="Arial"/>
          <w:iCs/>
          <w:lang w:val="en-US"/>
        </w:rPr>
        <w:t>2.2.3</w:t>
      </w:r>
      <w:r w:rsidRPr="00BE10DA">
        <w:rPr>
          <w:rFonts w:cs="Arial"/>
          <w:iCs/>
          <w:lang w:val="uk-UA"/>
        </w:rPr>
        <w:t xml:space="preserve">): </w:t>
      </w:r>
      <w:r w:rsidR="001026D9">
        <w:rPr>
          <w:rFonts w:cs="Arial"/>
          <w:iCs/>
          <w:lang w:val="en-US"/>
        </w:rPr>
        <w:t>10</w:t>
      </w:r>
      <w:r w:rsidRPr="00BE10DA">
        <w:rPr>
          <w:rFonts w:cs="Arial"/>
          <w:iCs/>
          <w:lang w:val="uk-UA"/>
        </w:rPr>
        <w:t xml:space="preserve"> years of professional experience in the working with electric high voltage and/or district heating systems </w:t>
      </w:r>
    </w:p>
    <w:p w14:paraId="3B7499D0" w14:textId="475E24C6" w:rsidR="00BE10DA" w:rsidRPr="00BE10DA" w:rsidRDefault="00BE10DA" w:rsidP="00BE10DA">
      <w:pPr>
        <w:jc w:val="both"/>
        <w:rPr>
          <w:rFonts w:cs="Arial"/>
          <w:iCs/>
          <w:lang w:val="uk-UA"/>
        </w:rPr>
      </w:pPr>
      <w:r w:rsidRPr="00BE10DA">
        <w:rPr>
          <w:rFonts w:cs="Arial"/>
          <w:iCs/>
          <w:lang w:val="uk-UA"/>
        </w:rPr>
        <w:t>•</w:t>
      </w:r>
      <w:r w:rsidRPr="00BE10DA">
        <w:rPr>
          <w:rFonts w:cs="Arial"/>
          <w:iCs/>
          <w:lang w:val="uk-UA"/>
        </w:rPr>
        <w:tab/>
        <w:t xml:space="preserve">Qualified expert electrical high voltage and/or heating systems </w:t>
      </w:r>
      <w:r w:rsidR="003A3E11" w:rsidRPr="003A3E11">
        <w:rPr>
          <w:rFonts w:cs="Arial"/>
          <w:iCs/>
          <w:lang w:val="uk-UA"/>
        </w:rPr>
        <w:t xml:space="preserve">based on provided certificates </w:t>
      </w:r>
      <w:r w:rsidRPr="00BE10DA">
        <w:rPr>
          <w:rFonts w:cs="Arial"/>
          <w:iCs/>
          <w:lang w:val="uk-UA"/>
        </w:rPr>
        <w:t>(</w:t>
      </w:r>
      <w:r w:rsidR="003A3E11">
        <w:rPr>
          <w:rFonts w:cs="Arial"/>
          <w:iCs/>
          <w:lang w:val="en-US"/>
        </w:rPr>
        <w:t>2.2.4</w:t>
      </w:r>
      <w:r w:rsidRPr="00BE10DA">
        <w:rPr>
          <w:rFonts w:cs="Arial"/>
          <w:iCs/>
          <w:lang w:val="uk-UA"/>
        </w:rPr>
        <w:t xml:space="preserve">): </w:t>
      </w:r>
    </w:p>
    <w:p w14:paraId="033D82F4" w14:textId="77777777" w:rsidR="00BE10DA" w:rsidRPr="00BE10DA" w:rsidRDefault="00BE10DA" w:rsidP="00BE10DA">
      <w:pPr>
        <w:jc w:val="both"/>
        <w:rPr>
          <w:rFonts w:cs="Arial"/>
          <w:iCs/>
          <w:lang w:val="uk-UA"/>
        </w:rPr>
      </w:pPr>
      <w:r w:rsidRPr="00BE10DA">
        <w:rPr>
          <w:rFonts w:cs="Arial"/>
          <w:iCs/>
          <w:lang w:val="uk-UA"/>
        </w:rPr>
        <w:t>Soft skills of team members</w:t>
      </w:r>
    </w:p>
    <w:p w14:paraId="69D57B91" w14:textId="77777777" w:rsidR="00BE10DA" w:rsidRPr="00BE10DA" w:rsidRDefault="00BE10DA" w:rsidP="00BE10DA">
      <w:pPr>
        <w:jc w:val="both"/>
        <w:rPr>
          <w:rFonts w:cs="Arial"/>
          <w:iCs/>
          <w:lang w:val="uk-UA"/>
        </w:rPr>
      </w:pPr>
      <w:r w:rsidRPr="00BE10DA">
        <w:rPr>
          <w:rFonts w:cs="Arial"/>
          <w:iCs/>
          <w:lang w:val="uk-UA"/>
        </w:rPr>
        <w:t>In addition to their specialist qualifications, the following qualifications are required of team members:</w:t>
      </w:r>
    </w:p>
    <w:p w14:paraId="3DF25AF8" w14:textId="77777777" w:rsidR="00BE10DA" w:rsidRPr="00BE10DA" w:rsidRDefault="00BE10DA" w:rsidP="00BE10DA">
      <w:pPr>
        <w:jc w:val="both"/>
        <w:rPr>
          <w:rFonts w:cs="Arial"/>
          <w:iCs/>
          <w:lang w:val="uk-UA"/>
        </w:rPr>
      </w:pPr>
      <w:r w:rsidRPr="00BE10DA">
        <w:rPr>
          <w:rFonts w:cs="Arial"/>
          <w:iCs/>
          <w:lang w:val="uk-UA"/>
        </w:rPr>
        <w:t>•</w:t>
      </w:r>
      <w:r w:rsidRPr="00BE10DA">
        <w:rPr>
          <w:rFonts w:cs="Arial"/>
          <w:iCs/>
          <w:lang w:val="uk-UA"/>
        </w:rPr>
        <w:tab/>
        <w:t>Team skills</w:t>
      </w:r>
    </w:p>
    <w:p w14:paraId="1598BF27" w14:textId="77777777" w:rsidR="00BE10DA" w:rsidRPr="00BE10DA" w:rsidRDefault="00BE10DA" w:rsidP="00BE10DA">
      <w:pPr>
        <w:jc w:val="both"/>
        <w:rPr>
          <w:rFonts w:cs="Arial"/>
          <w:iCs/>
          <w:lang w:val="uk-UA"/>
        </w:rPr>
      </w:pPr>
      <w:r w:rsidRPr="00BE10DA">
        <w:rPr>
          <w:rFonts w:cs="Arial"/>
          <w:iCs/>
          <w:lang w:val="uk-UA"/>
        </w:rPr>
        <w:t>•</w:t>
      </w:r>
      <w:r w:rsidRPr="00BE10DA">
        <w:rPr>
          <w:rFonts w:cs="Arial"/>
          <w:iCs/>
          <w:lang w:val="uk-UA"/>
        </w:rPr>
        <w:tab/>
        <w:t>Initiative</w:t>
      </w:r>
    </w:p>
    <w:p w14:paraId="1FE9F397" w14:textId="77777777" w:rsidR="00BE10DA" w:rsidRPr="00BE10DA" w:rsidRDefault="00BE10DA" w:rsidP="00BE10DA">
      <w:pPr>
        <w:jc w:val="both"/>
        <w:rPr>
          <w:rFonts w:cs="Arial"/>
          <w:iCs/>
          <w:lang w:val="uk-UA"/>
        </w:rPr>
      </w:pPr>
      <w:r w:rsidRPr="00BE10DA">
        <w:rPr>
          <w:rFonts w:cs="Arial"/>
          <w:iCs/>
          <w:lang w:val="uk-UA"/>
        </w:rPr>
        <w:t>•</w:t>
      </w:r>
      <w:r w:rsidRPr="00BE10DA">
        <w:rPr>
          <w:rFonts w:cs="Arial"/>
          <w:iCs/>
          <w:lang w:val="uk-UA"/>
        </w:rPr>
        <w:tab/>
        <w:t>Communication skills</w:t>
      </w:r>
    </w:p>
    <w:p w14:paraId="6D32B913" w14:textId="77777777" w:rsidR="00BE10DA" w:rsidRPr="00BE10DA" w:rsidRDefault="00BE10DA" w:rsidP="00BE10DA">
      <w:pPr>
        <w:jc w:val="both"/>
        <w:rPr>
          <w:rFonts w:cs="Arial"/>
          <w:iCs/>
          <w:lang w:val="uk-UA"/>
        </w:rPr>
      </w:pPr>
      <w:r w:rsidRPr="00BE10DA">
        <w:rPr>
          <w:rFonts w:cs="Arial"/>
          <w:iCs/>
          <w:lang w:val="uk-UA"/>
        </w:rPr>
        <w:t>•</w:t>
      </w:r>
      <w:r w:rsidRPr="00BE10DA">
        <w:rPr>
          <w:rFonts w:cs="Arial"/>
          <w:iCs/>
          <w:lang w:val="uk-UA"/>
        </w:rPr>
        <w:tab/>
        <w:t>Socio-cultural skills</w:t>
      </w:r>
    </w:p>
    <w:p w14:paraId="4DF30A35" w14:textId="77777777" w:rsidR="00BE10DA" w:rsidRPr="00BE10DA" w:rsidRDefault="00BE10DA" w:rsidP="00BE10DA">
      <w:pPr>
        <w:jc w:val="both"/>
        <w:rPr>
          <w:rFonts w:cs="Arial"/>
          <w:iCs/>
          <w:lang w:val="uk-UA"/>
        </w:rPr>
      </w:pPr>
      <w:r w:rsidRPr="00BE10DA">
        <w:rPr>
          <w:rFonts w:cs="Arial"/>
          <w:iCs/>
          <w:lang w:val="uk-UA"/>
        </w:rPr>
        <w:t>•</w:t>
      </w:r>
      <w:r w:rsidRPr="00BE10DA">
        <w:rPr>
          <w:rFonts w:cs="Arial"/>
          <w:iCs/>
          <w:lang w:val="uk-UA"/>
        </w:rPr>
        <w:tab/>
        <w:t>Efficient, partner- and client-focused working methods</w:t>
      </w:r>
    </w:p>
    <w:p w14:paraId="7FDB7A47" w14:textId="77777777" w:rsidR="00BE10DA" w:rsidRPr="00BE10DA" w:rsidRDefault="00BE10DA" w:rsidP="00BE10DA">
      <w:pPr>
        <w:jc w:val="both"/>
        <w:rPr>
          <w:rFonts w:cs="Arial"/>
          <w:iCs/>
          <w:lang w:val="uk-UA"/>
        </w:rPr>
      </w:pPr>
      <w:r w:rsidRPr="00BE10DA">
        <w:rPr>
          <w:rFonts w:cs="Arial"/>
          <w:iCs/>
          <w:lang w:val="uk-UA"/>
        </w:rPr>
        <w:t>•</w:t>
      </w:r>
      <w:r w:rsidRPr="00BE10DA">
        <w:rPr>
          <w:rFonts w:cs="Arial"/>
          <w:iCs/>
          <w:lang w:val="uk-UA"/>
        </w:rPr>
        <w:tab/>
        <w:t>Interdisciplinary thinking</w:t>
      </w:r>
    </w:p>
    <w:p w14:paraId="2C9A09A6" w14:textId="0769EAF2" w:rsidR="005125E0" w:rsidRPr="002714F4" w:rsidRDefault="00BE10DA" w:rsidP="005125E0">
      <w:pPr>
        <w:jc w:val="both"/>
        <w:rPr>
          <w:rFonts w:cs="Arial"/>
          <w:iCs/>
          <w:lang w:val="en-US"/>
        </w:rPr>
      </w:pPr>
      <w:r w:rsidRPr="00BE10DA">
        <w:rPr>
          <w:rFonts w:cs="Arial"/>
          <w:iCs/>
          <w:lang w:val="uk-UA"/>
        </w:rPr>
        <w:t>Due to the necessary activities to be carried out in parallel, it is necessary to maintain enough staff (Technical experts) that can also compensate for vacation times and sick leave. The replaced Technical experts must have qualifications not lower than those specified in the requirements below.</w:t>
      </w:r>
      <w:r w:rsidR="00B175BC">
        <w:rPr>
          <w:rFonts w:cs="Arial"/>
          <w:iCs/>
          <w:lang w:val="uk-UA"/>
        </w:rPr>
        <w:t xml:space="preserve"> </w:t>
      </w:r>
      <w:r w:rsidR="002714F4">
        <w:rPr>
          <w:rFonts w:cs="Arial"/>
          <w:iCs/>
          <w:lang w:val="en-US"/>
        </w:rPr>
        <w:t xml:space="preserve">The replacement can be done only with GIZ approval via signing of Supplement to the Contract. </w:t>
      </w:r>
    </w:p>
    <w:p w14:paraId="1DCABE65" w14:textId="08863535" w:rsidR="00155D73" w:rsidRPr="001261F8" w:rsidRDefault="00155D73" w:rsidP="00696913">
      <w:pPr>
        <w:pStyle w:val="Heading1"/>
        <w:numPr>
          <w:ilvl w:val="0"/>
          <w:numId w:val="5"/>
        </w:numPr>
        <w:jc w:val="both"/>
      </w:pPr>
      <w:bookmarkStart w:id="44" w:name="_Toc126094246"/>
      <w:bookmarkStart w:id="45" w:name="_Ref508121809"/>
      <w:bookmarkStart w:id="46" w:name="_Toc508620008"/>
      <w:bookmarkStart w:id="47" w:name="_Toc119493832"/>
      <w:bookmarkStart w:id="48" w:name="_Hlk119492412"/>
      <w:r>
        <w:lastRenderedPageBreak/>
        <w:t>Costing requirements</w:t>
      </w:r>
      <w:bookmarkEnd w:id="44"/>
    </w:p>
    <w:p w14:paraId="05F6D7FA" w14:textId="034B6322" w:rsidR="00155D73" w:rsidRPr="005D26F7" w:rsidRDefault="00155D73" w:rsidP="00127D3B">
      <w:pPr>
        <w:pStyle w:val="Heading2"/>
        <w:jc w:val="both"/>
        <w:rPr>
          <w:lang w:val="uk-UA"/>
        </w:rPr>
      </w:pPr>
      <w:bookmarkStart w:id="49" w:name="_Toc126094247"/>
      <w:r w:rsidRPr="005D26F7">
        <w:t>Assignment of personnel and travel expenses</w:t>
      </w:r>
      <w:bookmarkEnd w:id="49"/>
      <w:r w:rsidR="00E71D63" w:rsidRPr="005D26F7">
        <w:rPr>
          <w:lang w:val="uk-UA"/>
        </w:rPr>
        <w:t xml:space="preserve"> </w:t>
      </w:r>
    </w:p>
    <w:p w14:paraId="37FAC552" w14:textId="77777777" w:rsidR="008F21CE" w:rsidRPr="008F21CE" w:rsidRDefault="008F21CE" w:rsidP="008F21CE">
      <w:pPr>
        <w:pStyle w:val="Heading2"/>
        <w:jc w:val="both"/>
        <w:rPr>
          <w:rFonts w:eastAsiaTheme="minorHAnsi" w:cstheme="minorBidi"/>
          <w:b w:val="0"/>
          <w:bCs w:val="0"/>
          <w:szCs w:val="22"/>
        </w:rPr>
      </w:pPr>
      <w:bookmarkStart w:id="50" w:name="_Toc126094248"/>
      <w:r w:rsidRPr="008F21CE">
        <w:rPr>
          <w:rFonts w:eastAsiaTheme="minorHAnsi" w:cstheme="minorBidi"/>
          <w:b w:val="0"/>
          <w:bCs w:val="0"/>
          <w:szCs w:val="22"/>
        </w:rPr>
        <w:t>The contractor shall submit with each invoice an overview of the activities carried out with details of the person worked on, the project identification with an interval of 0.5 working days on the time sheets (minimal unit of measure for working days in time sheet - 0,5 day, not less).</w:t>
      </w:r>
    </w:p>
    <w:p w14:paraId="2A70A665" w14:textId="2ED32C80" w:rsidR="008F21CE" w:rsidRPr="008F21CE" w:rsidRDefault="008F21CE" w:rsidP="008F21CE">
      <w:pPr>
        <w:pStyle w:val="Heading2"/>
        <w:jc w:val="both"/>
        <w:rPr>
          <w:rFonts w:eastAsiaTheme="minorHAnsi" w:cstheme="minorBidi"/>
          <w:b w:val="0"/>
          <w:bCs w:val="0"/>
          <w:szCs w:val="22"/>
        </w:rPr>
      </w:pPr>
      <w:r w:rsidRPr="008F21CE">
        <w:rPr>
          <w:rFonts w:eastAsiaTheme="minorHAnsi" w:cstheme="minorBidi"/>
          <w:b w:val="0"/>
          <w:bCs w:val="0"/>
          <w:szCs w:val="22"/>
        </w:rPr>
        <w:t>Costs for transport will be reimbursed on evidence documents base and volume defined by the project</w:t>
      </w:r>
      <w:r w:rsidR="009910C9">
        <w:rPr>
          <w:rFonts w:eastAsiaTheme="minorHAnsi" w:cstheme="minorBidi"/>
          <w:b w:val="0"/>
          <w:bCs w:val="0"/>
          <w:szCs w:val="22"/>
        </w:rPr>
        <w:t xml:space="preserve"> </w:t>
      </w:r>
      <w:r w:rsidR="009910C9" w:rsidRPr="009910C9">
        <w:rPr>
          <w:rFonts w:eastAsiaTheme="minorHAnsi" w:cstheme="minorBidi"/>
          <w:b w:val="0"/>
          <w:bCs w:val="0"/>
          <w:szCs w:val="22"/>
        </w:rPr>
        <w:t xml:space="preserve">- </w:t>
      </w:r>
      <w:r w:rsidR="009910C9" w:rsidRPr="00546F26">
        <w:rPr>
          <w:b w:val="0"/>
          <w:bCs w:val="0"/>
          <w:lang w:val="en-US"/>
        </w:rPr>
        <w:t>Project will provide Contractor locations for visits</w:t>
      </w:r>
      <w:r w:rsidR="009910C9">
        <w:rPr>
          <w:b w:val="0"/>
          <w:bCs w:val="0"/>
          <w:lang w:val="en-US"/>
        </w:rPr>
        <w:t xml:space="preserve"> and dates for such visits</w:t>
      </w:r>
      <w:r w:rsidR="009910C9" w:rsidRPr="00546F26">
        <w:rPr>
          <w:b w:val="0"/>
          <w:bCs w:val="0"/>
          <w:lang w:val="en-US"/>
        </w:rPr>
        <w:t>.</w:t>
      </w:r>
    </w:p>
    <w:p w14:paraId="3EAC2EBC" w14:textId="765EE5C5" w:rsidR="008F21CE" w:rsidRPr="008F21CE" w:rsidRDefault="008F21CE" w:rsidP="008F21CE">
      <w:pPr>
        <w:pStyle w:val="Heading2"/>
        <w:jc w:val="both"/>
        <w:rPr>
          <w:rFonts w:eastAsiaTheme="minorHAnsi" w:cstheme="minorBidi"/>
          <w:b w:val="0"/>
          <w:bCs w:val="0"/>
          <w:szCs w:val="22"/>
        </w:rPr>
      </w:pPr>
      <w:r w:rsidRPr="008F21CE">
        <w:rPr>
          <w:rFonts w:eastAsiaTheme="minorHAnsi" w:cstheme="minorBidi"/>
          <w:b w:val="0"/>
          <w:bCs w:val="0"/>
          <w:szCs w:val="22"/>
        </w:rPr>
        <w:t xml:space="preserve">The company can reimburse based on this budget line all necessary transport activities to </w:t>
      </w:r>
      <w:r w:rsidR="00366A72" w:rsidRPr="008F21CE">
        <w:rPr>
          <w:rFonts w:eastAsiaTheme="minorHAnsi" w:cstheme="minorBidi"/>
          <w:b w:val="0"/>
          <w:bCs w:val="0"/>
          <w:szCs w:val="22"/>
        </w:rPr>
        <w:t>fulfil</w:t>
      </w:r>
      <w:r w:rsidRPr="008F21CE">
        <w:rPr>
          <w:rFonts w:eastAsiaTheme="minorHAnsi" w:cstheme="minorBidi"/>
          <w:b w:val="0"/>
          <w:bCs w:val="0"/>
          <w:szCs w:val="22"/>
        </w:rPr>
        <w:t xml:space="preserve"> the described tasks (on evidence). All kind of transports are accepted by GIZ on standard configuration (according to GIZ rules and procedures). For transportation by train (evidence by tickets) is using Second Class, for night trains – 4 bed compartments. Transport by company or private cars needs evidence by internet-based calculation of route planner like Google-map or similar (ride report) (18 UAH per 1 km which includes all expenses without exception, such as fuel, etc.). The Contractor shall use the shortest possible route.</w:t>
      </w:r>
    </w:p>
    <w:p w14:paraId="6E89A50E" w14:textId="4AE5C0D4" w:rsidR="008F21CE" w:rsidRPr="008F21CE" w:rsidRDefault="008F21CE" w:rsidP="008F21CE">
      <w:pPr>
        <w:pStyle w:val="Heading2"/>
        <w:jc w:val="both"/>
        <w:rPr>
          <w:rFonts w:eastAsiaTheme="minorHAnsi" w:cstheme="minorBidi"/>
          <w:b w:val="0"/>
          <w:bCs w:val="0"/>
          <w:szCs w:val="22"/>
        </w:rPr>
      </w:pPr>
      <w:r w:rsidRPr="008F21CE">
        <w:rPr>
          <w:rFonts w:eastAsiaTheme="minorHAnsi" w:cstheme="minorBidi"/>
          <w:b w:val="0"/>
          <w:bCs w:val="0"/>
          <w:szCs w:val="22"/>
        </w:rPr>
        <w:t xml:space="preserve">Due to far distances between sites GIZ also taking over costs for accommodation. </w:t>
      </w:r>
      <w:r w:rsidR="006F2478">
        <w:rPr>
          <w:rFonts w:eastAsiaTheme="minorHAnsi" w:cstheme="minorBidi"/>
          <w:b w:val="0"/>
          <w:bCs w:val="0"/>
          <w:szCs w:val="22"/>
          <w:lang w:val="en-US"/>
        </w:rPr>
        <w:t>Rate per night is setting up to</w:t>
      </w:r>
      <w:r w:rsidRPr="008F21CE">
        <w:rPr>
          <w:rFonts w:eastAsiaTheme="minorHAnsi" w:cstheme="minorBidi"/>
          <w:b w:val="0"/>
          <w:bCs w:val="0"/>
          <w:szCs w:val="22"/>
        </w:rPr>
        <w:t xml:space="preserve"> </w:t>
      </w:r>
      <w:r w:rsidR="006F2478">
        <w:rPr>
          <w:rFonts w:eastAsiaTheme="minorHAnsi" w:cstheme="minorBidi"/>
          <w:b w:val="0"/>
          <w:bCs w:val="0"/>
          <w:szCs w:val="22"/>
        </w:rPr>
        <w:t>1</w:t>
      </w:r>
      <w:r w:rsidR="00244593">
        <w:rPr>
          <w:rFonts w:eastAsiaTheme="minorHAnsi" w:cstheme="minorBidi"/>
          <w:b w:val="0"/>
          <w:bCs w:val="0"/>
          <w:szCs w:val="22"/>
        </w:rPr>
        <w:t>5</w:t>
      </w:r>
      <w:r w:rsidR="006F2478">
        <w:rPr>
          <w:rFonts w:eastAsiaTheme="minorHAnsi" w:cstheme="minorBidi"/>
          <w:b w:val="0"/>
          <w:bCs w:val="0"/>
          <w:szCs w:val="22"/>
        </w:rPr>
        <w:t>00</w:t>
      </w:r>
      <w:r w:rsidRPr="008F21CE">
        <w:rPr>
          <w:rFonts w:eastAsiaTheme="minorHAnsi" w:cstheme="minorBidi"/>
          <w:b w:val="0"/>
          <w:bCs w:val="0"/>
          <w:szCs w:val="22"/>
        </w:rPr>
        <w:t xml:space="preserve"> UAH</w:t>
      </w:r>
      <w:r w:rsidR="006F2478">
        <w:rPr>
          <w:rFonts w:eastAsiaTheme="minorHAnsi" w:cstheme="minorBidi"/>
          <w:b w:val="0"/>
          <w:bCs w:val="0"/>
          <w:szCs w:val="22"/>
        </w:rPr>
        <w:t xml:space="preserve"> against evidence</w:t>
      </w:r>
      <w:r w:rsidRPr="008F21CE">
        <w:rPr>
          <w:rFonts w:eastAsiaTheme="minorHAnsi" w:cstheme="minorBidi"/>
          <w:b w:val="0"/>
          <w:bCs w:val="0"/>
          <w:szCs w:val="22"/>
        </w:rPr>
        <w:t xml:space="preserve">. </w:t>
      </w:r>
    </w:p>
    <w:p w14:paraId="318E0438" w14:textId="14B45949" w:rsidR="008F21CE" w:rsidRPr="005E1FE3" w:rsidRDefault="008F21CE" w:rsidP="008F21CE">
      <w:pPr>
        <w:pStyle w:val="Heading2"/>
        <w:jc w:val="both"/>
        <w:rPr>
          <w:rFonts w:eastAsiaTheme="minorHAnsi" w:cstheme="minorBidi"/>
          <w:b w:val="0"/>
          <w:bCs w:val="0"/>
          <w:szCs w:val="22"/>
          <w:lang w:val="uk-UA"/>
        </w:rPr>
      </w:pPr>
      <w:r w:rsidRPr="008F21CE">
        <w:rPr>
          <w:rFonts w:eastAsiaTheme="minorHAnsi" w:cstheme="minorBidi"/>
          <w:b w:val="0"/>
          <w:bCs w:val="0"/>
          <w:szCs w:val="22"/>
        </w:rPr>
        <w:t>Cost for phone calls, internet and IT equipment as well as consumable goods are included to expert’s day rate</w:t>
      </w:r>
      <w:r w:rsidR="007F0861">
        <w:rPr>
          <w:rFonts w:eastAsiaTheme="minorHAnsi" w:cstheme="minorBidi"/>
          <w:b w:val="0"/>
          <w:bCs w:val="0"/>
          <w:szCs w:val="22"/>
        </w:rPr>
        <w:t>.</w:t>
      </w:r>
    </w:p>
    <w:p w14:paraId="0DFE37D5" w14:textId="77777777" w:rsidR="008F21CE" w:rsidRDefault="008F21CE" w:rsidP="008F21CE">
      <w:pPr>
        <w:pStyle w:val="Heading2"/>
        <w:jc w:val="both"/>
        <w:rPr>
          <w:rFonts w:eastAsiaTheme="minorHAnsi" w:cstheme="minorBidi"/>
          <w:b w:val="0"/>
          <w:bCs w:val="0"/>
          <w:szCs w:val="22"/>
        </w:rPr>
      </w:pPr>
      <w:r w:rsidRPr="008F21CE">
        <w:rPr>
          <w:rFonts w:eastAsiaTheme="minorHAnsi" w:cstheme="minorBidi"/>
          <w:b w:val="0"/>
          <w:bCs w:val="0"/>
          <w:szCs w:val="22"/>
        </w:rPr>
        <w:t>All travel activities must be agreed in advance with the staff member responsible for the project.</w:t>
      </w:r>
    </w:p>
    <w:p w14:paraId="6670BA0D" w14:textId="5B8810ED" w:rsidR="00155D73" w:rsidRPr="005D26F7" w:rsidRDefault="00155D73" w:rsidP="008F21CE">
      <w:pPr>
        <w:pStyle w:val="Heading2"/>
        <w:jc w:val="both"/>
      </w:pPr>
      <w:r w:rsidRPr="005D26F7">
        <w:t>Sustainability aspects for travel</w:t>
      </w:r>
      <w:bookmarkEnd w:id="50"/>
      <w:r w:rsidR="000D6E94" w:rsidRPr="005D26F7">
        <w:t xml:space="preserve"> and travel regulations </w:t>
      </w:r>
    </w:p>
    <w:p w14:paraId="0E4C3ED7" w14:textId="743FEF80" w:rsidR="000D6E94" w:rsidRPr="000D6E94" w:rsidRDefault="000D6E94" w:rsidP="00127D3B">
      <w:pPr>
        <w:jc w:val="both"/>
      </w:pPr>
      <w:r w:rsidRPr="005D26F7">
        <w:t>If applicable on ground of these Terms of Reference the following travel regulations</w:t>
      </w:r>
      <w:r w:rsidR="008E78C2" w:rsidRPr="005D26F7">
        <w:rPr>
          <w:lang w:val="uk-UA"/>
        </w:rPr>
        <w:t xml:space="preserve"> </w:t>
      </w:r>
      <w:r w:rsidR="008E78C2" w:rsidRPr="005D26F7">
        <w:rPr>
          <w:rFonts w:cs="Arial"/>
        </w:rPr>
        <w:t>and reporting documents</w:t>
      </w:r>
      <w:r w:rsidRPr="005D26F7">
        <w:t xml:space="preserve"> are to be observed</w:t>
      </w:r>
      <w:r>
        <w:t xml:space="preserve">. See Annex 1 to these Terms of Reference. </w:t>
      </w:r>
    </w:p>
    <w:p w14:paraId="637AEC52" w14:textId="6E59C3C9" w:rsidR="00155D73" w:rsidRPr="004D10DC" w:rsidRDefault="00155D73" w:rsidP="00127D3B">
      <w:pPr>
        <w:jc w:val="both"/>
        <w:rPr>
          <w:b/>
          <w:lang w:val="en-US"/>
        </w:rPr>
      </w:pPr>
      <w:r w:rsidRPr="00D93EF8">
        <w:rPr>
          <w:b/>
        </w:rPr>
        <w:t>Specification of inputs</w:t>
      </w:r>
      <w:r w:rsidR="004D10DC">
        <w:rPr>
          <w:b/>
          <w:lang w:val="uk-UA"/>
        </w:rPr>
        <w:t xml:space="preserve"> </w:t>
      </w:r>
      <w:r w:rsidR="004D10DC">
        <w:rPr>
          <w:b/>
          <w:lang w:val="en-US"/>
        </w:rPr>
        <w:t>per each LOT</w:t>
      </w:r>
    </w:p>
    <w:tbl>
      <w:tblPr>
        <w:tblStyle w:val="TableGrid"/>
        <w:tblW w:w="9913" w:type="dxa"/>
        <w:tblLayout w:type="fixed"/>
        <w:tblLook w:val="04A0" w:firstRow="1" w:lastRow="0" w:firstColumn="1" w:lastColumn="0" w:noHBand="0" w:noVBand="1"/>
      </w:tblPr>
      <w:tblGrid>
        <w:gridCol w:w="3109"/>
        <w:gridCol w:w="1134"/>
        <w:gridCol w:w="1276"/>
        <w:gridCol w:w="1275"/>
        <w:gridCol w:w="3119"/>
      </w:tblGrid>
      <w:tr w:rsidR="00155D73" w:rsidRPr="00B12908" w14:paraId="33135D9B" w14:textId="77777777">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DC8E026" w14:textId="77777777" w:rsidR="00155D73" w:rsidRPr="00D93EF8" w:rsidRDefault="00155D73" w:rsidP="00127D3B">
            <w:pPr>
              <w:spacing w:before="120" w:after="120"/>
              <w:jc w:val="both"/>
              <w:rPr>
                <w:rFonts w:cs="Arial"/>
                <w:sz w:val="22"/>
                <w:szCs w:val="22"/>
              </w:rPr>
            </w:pPr>
            <w:r w:rsidRPr="00127D3B">
              <w:rPr>
                <w:rFonts w:cs="Arial"/>
                <w:b/>
              </w:rPr>
              <w:t>Fee days</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4C1442" w14:textId="49C4AC9C" w:rsidR="00155D73" w:rsidRPr="00D93EF8" w:rsidRDefault="00A842D4" w:rsidP="00127D3B">
            <w:pPr>
              <w:spacing w:before="120" w:after="120"/>
              <w:jc w:val="both"/>
              <w:rPr>
                <w:rFonts w:eastAsia="Arial" w:cs="Arial"/>
                <w:b/>
                <w:bCs/>
                <w:color w:val="000000" w:themeColor="text1"/>
                <w:sz w:val="22"/>
                <w:szCs w:val="22"/>
              </w:rPr>
            </w:pPr>
            <w:r w:rsidRPr="00127D3B">
              <w:rPr>
                <w:rFonts w:eastAsia="Arial" w:cs="Arial"/>
                <w:b/>
                <w:color w:val="000000" w:themeColor="text1"/>
              </w:rPr>
              <w:t xml:space="preserve">Unit of measurement </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7B1E497" w14:textId="0AE5E3A9" w:rsidR="00155D73" w:rsidRPr="00D93EF8" w:rsidRDefault="00A842D4" w:rsidP="00127D3B">
            <w:pPr>
              <w:spacing w:before="120" w:after="120"/>
              <w:jc w:val="both"/>
              <w:rPr>
                <w:rFonts w:eastAsia="Arial" w:cs="Arial"/>
                <w:b/>
                <w:bCs/>
                <w:color w:val="000000" w:themeColor="text1"/>
                <w:sz w:val="22"/>
                <w:szCs w:val="22"/>
              </w:rPr>
            </w:pPr>
            <w:r w:rsidRPr="00127D3B">
              <w:rPr>
                <w:rFonts w:cs="Arial"/>
                <w:b/>
                <w:color w:val="000000" w:themeColor="text1"/>
              </w:rPr>
              <w:t>Number of experts</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9B7309" w14:textId="1C95E7A8" w:rsidR="00155D73" w:rsidRPr="00D93EF8" w:rsidRDefault="00155D73" w:rsidP="00127D3B">
            <w:pPr>
              <w:spacing w:before="120" w:after="120"/>
              <w:jc w:val="both"/>
              <w:rPr>
                <w:rFonts w:eastAsia="Arial" w:cs="Arial"/>
                <w:b/>
                <w:bCs/>
                <w:color w:val="000000" w:themeColor="text1"/>
                <w:sz w:val="22"/>
                <w:szCs w:val="22"/>
              </w:rPr>
            </w:pPr>
            <w:r w:rsidRPr="00127D3B">
              <w:rPr>
                <w:rFonts w:cs="Arial"/>
                <w:b/>
                <w:color w:val="000000" w:themeColor="text1"/>
              </w:rPr>
              <w:t>Total</w:t>
            </w:r>
            <w:r w:rsidR="00A842D4" w:rsidRPr="00127D3B">
              <w:rPr>
                <w:rFonts w:cs="Arial"/>
                <w:b/>
                <w:color w:val="000000" w:themeColor="text1"/>
              </w:rPr>
              <w:t xml:space="preserve"> number of days</w:t>
            </w: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C98F59E" w14:textId="287FB97D" w:rsidR="00155D73" w:rsidRPr="00D93EF8" w:rsidRDefault="00155D73" w:rsidP="00127D3B">
            <w:pPr>
              <w:spacing w:before="120" w:after="120"/>
              <w:jc w:val="both"/>
              <w:rPr>
                <w:rFonts w:cs="Arial"/>
                <w:sz w:val="22"/>
                <w:szCs w:val="22"/>
              </w:rPr>
            </w:pPr>
            <w:r w:rsidRPr="00127D3B">
              <w:rPr>
                <w:rFonts w:cs="Arial"/>
                <w:b/>
                <w:color w:val="000000" w:themeColor="text1"/>
              </w:rPr>
              <w:t>Comments</w:t>
            </w:r>
            <w:r w:rsidR="00A842D4" w:rsidRPr="00127D3B">
              <w:rPr>
                <w:rFonts w:cs="Arial"/>
                <w:b/>
                <w:color w:val="000000" w:themeColor="text1"/>
              </w:rPr>
              <w:t xml:space="preserve"> (if any)  </w:t>
            </w:r>
          </w:p>
        </w:tc>
      </w:tr>
      <w:tr w:rsidR="00155D73" w14:paraId="59FECE51" w14:textId="77777777">
        <w:trPr>
          <w:trHeight w:val="330"/>
        </w:trPr>
        <w:tc>
          <w:tcPr>
            <w:tcW w:w="3109" w:type="dxa"/>
            <w:tcBorders>
              <w:top w:val="single" w:sz="8" w:space="0" w:color="auto"/>
              <w:left w:val="single" w:sz="8" w:space="0" w:color="auto"/>
              <w:bottom w:val="single" w:sz="8" w:space="0" w:color="auto"/>
              <w:right w:val="single" w:sz="8" w:space="0" w:color="auto"/>
            </w:tcBorders>
          </w:tcPr>
          <w:p w14:paraId="08FAC76C" w14:textId="769CFD87" w:rsidR="00155D73" w:rsidRPr="00D93EF8" w:rsidRDefault="000E6FEB" w:rsidP="00127D3B">
            <w:pPr>
              <w:spacing w:before="120" w:after="120"/>
              <w:jc w:val="both"/>
              <w:rPr>
                <w:rFonts w:eastAsia="Arial" w:cs="Arial"/>
                <w:sz w:val="22"/>
                <w:szCs w:val="22"/>
              </w:rPr>
            </w:pPr>
            <w:r>
              <w:rPr>
                <w:rFonts w:cs="Arial"/>
                <w:b/>
                <w:color w:val="000000" w:themeColor="text1"/>
              </w:rPr>
              <w:t>Expert 1, Expert 2</w:t>
            </w:r>
          </w:p>
        </w:tc>
        <w:tc>
          <w:tcPr>
            <w:tcW w:w="1134" w:type="dxa"/>
            <w:tcBorders>
              <w:top w:val="single" w:sz="8" w:space="0" w:color="auto"/>
              <w:left w:val="single" w:sz="8" w:space="0" w:color="auto"/>
              <w:bottom w:val="single" w:sz="8" w:space="0" w:color="auto"/>
              <w:right w:val="single" w:sz="8" w:space="0" w:color="auto"/>
            </w:tcBorders>
          </w:tcPr>
          <w:p w14:paraId="17C131FC" w14:textId="0A59C203" w:rsidR="00155D73" w:rsidRPr="00D93EF8" w:rsidRDefault="004D10DC" w:rsidP="00127D3B">
            <w:pPr>
              <w:spacing w:before="120" w:after="120"/>
              <w:jc w:val="both"/>
              <w:rPr>
                <w:rFonts w:eastAsia="Arial" w:cs="Arial"/>
                <w:b/>
                <w:bCs/>
                <w:color w:val="000000" w:themeColor="text1"/>
                <w:sz w:val="22"/>
                <w:szCs w:val="22"/>
              </w:rPr>
            </w:pPr>
            <w:r>
              <w:rPr>
                <w:rFonts w:eastAsia="Arial" w:cs="Arial"/>
                <w:b/>
                <w:color w:val="000000" w:themeColor="text1"/>
              </w:rPr>
              <w:fldChar w:fldCharType="begin">
                <w:ffData>
                  <w:name w:val="Text59"/>
                  <w:enabled/>
                  <w:calcOnExit w:val="0"/>
                  <w:textInput>
                    <w:default w:val="man-day"/>
                  </w:textInput>
                </w:ffData>
              </w:fldChar>
            </w:r>
            <w:bookmarkStart w:id="51" w:name="Text59"/>
            <w:r>
              <w:rPr>
                <w:rFonts w:eastAsia="Arial" w:cs="Arial"/>
                <w:b/>
                <w:color w:val="000000" w:themeColor="text1"/>
              </w:rPr>
              <w:instrText xml:space="preserve"> FORMTEXT </w:instrText>
            </w:r>
            <w:r>
              <w:rPr>
                <w:rFonts w:eastAsia="Arial" w:cs="Arial"/>
                <w:b/>
                <w:color w:val="000000" w:themeColor="text1"/>
              </w:rPr>
            </w:r>
            <w:r>
              <w:rPr>
                <w:rFonts w:eastAsia="Arial" w:cs="Arial"/>
                <w:b/>
                <w:color w:val="000000" w:themeColor="text1"/>
              </w:rPr>
              <w:fldChar w:fldCharType="separate"/>
            </w:r>
            <w:r>
              <w:rPr>
                <w:rFonts w:eastAsia="Arial" w:cs="Arial"/>
                <w:b/>
                <w:noProof/>
                <w:color w:val="000000" w:themeColor="text1"/>
              </w:rPr>
              <w:t>man-day</w:t>
            </w:r>
            <w:r>
              <w:rPr>
                <w:rFonts w:eastAsia="Arial" w:cs="Arial"/>
                <w:b/>
                <w:color w:val="000000" w:themeColor="text1"/>
              </w:rPr>
              <w:fldChar w:fldCharType="end"/>
            </w:r>
            <w:bookmarkEnd w:id="51"/>
          </w:p>
        </w:tc>
        <w:tc>
          <w:tcPr>
            <w:tcW w:w="1276" w:type="dxa"/>
            <w:tcBorders>
              <w:top w:val="single" w:sz="8" w:space="0" w:color="auto"/>
              <w:left w:val="single" w:sz="8" w:space="0" w:color="auto"/>
              <w:bottom w:val="single" w:sz="8" w:space="0" w:color="auto"/>
              <w:right w:val="single" w:sz="8" w:space="0" w:color="auto"/>
            </w:tcBorders>
          </w:tcPr>
          <w:p w14:paraId="69A7496A" w14:textId="20B2E5AE" w:rsidR="00155D73" w:rsidRPr="00F90A6F" w:rsidRDefault="00F90A6F" w:rsidP="00127D3B">
            <w:pPr>
              <w:spacing w:before="120" w:after="120"/>
              <w:jc w:val="both"/>
              <w:rPr>
                <w:rFonts w:eastAsia="Arial" w:cs="Arial"/>
                <w:b/>
                <w:bCs/>
                <w:color w:val="000000" w:themeColor="text1"/>
                <w:sz w:val="22"/>
                <w:szCs w:val="22"/>
                <w:lang w:val="en-US"/>
              </w:rPr>
            </w:pPr>
            <w:r>
              <w:rPr>
                <w:rFonts w:eastAsia="Arial" w:cs="Arial"/>
                <w:b/>
                <w:color w:val="000000" w:themeColor="text1"/>
                <w:lang w:val="en-US"/>
              </w:rPr>
              <w:t>2</w:t>
            </w:r>
          </w:p>
        </w:tc>
        <w:tc>
          <w:tcPr>
            <w:tcW w:w="1275" w:type="dxa"/>
            <w:tcBorders>
              <w:top w:val="single" w:sz="8" w:space="0" w:color="auto"/>
              <w:left w:val="single" w:sz="8" w:space="0" w:color="auto"/>
              <w:bottom w:val="single" w:sz="8" w:space="0" w:color="auto"/>
              <w:right w:val="single" w:sz="8" w:space="0" w:color="auto"/>
            </w:tcBorders>
          </w:tcPr>
          <w:p w14:paraId="51B8628A" w14:textId="24E6B54A" w:rsidR="00155D73" w:rsidRPr="004D10DC" w:rsidRDefault="004D10DC" w:rsidP="00127D3B">
            <w:pPr>
              <w:spacing w:before="120" w:after="120"/>
              <w:jc w:val="both"/>
              <w:rPr>
                <w:rFonts w:eastAsia="Arial" w:cs="Arial"/>
                <w:b/>
                <w:bCs/>
                <w:color w:val="000000" w:themeColor="text1"/>
                <w:sz w:val="22"/>
                <w:szCs w:val="22"/>
                <w:lang w:val="uk-UA"/>
              </w:rPr>
            </w:pPr>
            <w:r>
              <w:rPr>
                <w:rFonts w:eastAsia="Arial" w:cs="Arial"/>
                <w:b/>
                <w:color w:val="000000" w:themeColor="text1"/>
                <w:lang w:val="uk-UA"/>
              </w:rPr>
              <w:t>60</w:t>
            </w:r>
          </w:p>
        </w:tc>
        <w:tc>
          <w:tcPr>
            <w:tcW w:w="3119" w:type="dxa"/>
            <w:tcBorders>
              <w:top w:val="single" w:sz="8" w:space="0" w:color="auto"/>
              <w:left w:val="single" w:sz="8" w:space="0" w:color="auto"/>
              <w:bottom w:val="single" w:sz="8" w:space="0" w:color="auto"/>
              <w:right w:val="single" w:sz="8" w:space="0" w:color="auto"/>
            </w:tcBorders>
          </w:tcPr>
          <w:p w14:paraId="29A92BB7" w14:textId="77777777" w:rsidR="00155D73" w:rsidRPr="00D93EF8" w:rsidRDefault="00155D73" w:rsidP="00127D3B">
            <w:pPr>
              <w:spacing w:before="120" w:after="120"/>
              <w:jc w:val="both"/>
              <w:rPr>
                <w:rFonts w:cs="Arial"/>
                <w:sz w:val="22"/>
                <w:szCs w:val="22"/>
              </w:rPr>
            </w:pPr>
            <w:r w:rsidRPr="00D93EF8">
              <w:rPr>
                <w:rFonts w:cs="Arial"/>
              </w:rPr>
              <w:fldChar w:fldCharType="begin" w:fldLock="1">
                <w:ffData>
                  <w:name w:val="Text59"/>
                  <w:enabled/>
                  <w:calcOnExit w:val="0"/>
                  <w:textInput/>
                </w:ffData>
              </w:fldChar>
            </w:r>
            <w:r w:rsidRPr="00127D3B">
              <w:rPr>
                <w:rFonts w:cs="Arial"/>
              </w:rPr>
              <w:instrText xml:space="preserve"> FORMTEXT </w:instrText>
            </w:r>
            <w:r w:rsidRPr="00D93EF8">
              <w:rPr>
                <w:rFonts w:cs="Arial"/>
              </w:rPr>
            </w:r>
            <w:r w:rsidRPr="00D93EF8">
              <w:rPr>
                <w:rFonts w:cs="Arial"/>
              </w:rPr>
              <w:fldChar w:fldCharType="separate"/>
            </w:r>
            <w:r w:rsidRPr="00127D3B">
              <w:rPr>
                <w:rFonts w:cs="Arial"/>
              </w:rPr>
              <w:t>     </w:t>
            </w:r>
            <w:r w:rsidRPr="00D93EF8">
              <w:rPr>
                <w:rFonts w:cs="Arial"/>
              </w:rPr>
              <w:fldChar w:fldCharType="end"/>
            </w:r>
          </w:p>
        </w:tc>
      </w:tr>
      <w:tr w:rsidR="00155D73" w14:paraId="24CC9055" w14:textId="77777777">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37617A3" w14:textId="77777777" w:rsidR="00155D73" w:rsidRPr="00D93EF8" w:rsidRDefault="00155D73" w:rsidP="00127D3B">
            <w:pPr>
              <w:spacing w:before="120" w:after="120"/>
              <w:jc w:val="both"/>
              <w:rPr>
                <w:rFonts w:cs="Arial"/>
                <w:sz w:val="22"/>
                <w:szCs w:val="22"/>
              </w:rPr>
            </w:pPr>
            <w:r w:rsidRPr="00127D3B">
              <w:rPr>
                <w:rFonts w:cs="Arial"/>
                <w:b/>
                <w:color w:val="000000" w:themeColor="text1"/>
              </w:rPr>
              <w:t>Travel expenses</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475AF50" w14:textId="02A52DE5" w:rsidR="00155D73" w:rsidRPr="00D93EF8" w:rsidRDefault="00A842D4" w:rsidP="00127D3B">
            <w:pPr>
              <w:spacing w:before="120" w:after="120"/>
              <w:jc w:val="both"/>
              <w:rPr>
                <w:rFonts w:eastAsia="Arial" w:cs="Arial"/>
                <w:b/>
                <w:bCs/>
                <w:color w:val="000000" w:themeColor="text1"/>
                <w:sz w:val="22"/>
                <w:szCs w:val="22"/>
              </w:rPr>
            </w:pPr>
            <w:r w:rsidRPr="00127D3B">
              <w:rPr>
                <w:rFonts w:eastAsia="Arial" w:cs="Arial"/>
                <w:b/>
                <w:color w:val="000000" w:themeColor="text1"/>
              </w:rPr>
              <w:t>Unit of measurement</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1D38DDE" w14:textId="76E0C952" w:rsidR="00155D73" w:rsidRPr="00757BB9" w:rsidRDefault="00A842D4" w:rsidP="00127D3B">
            <w:pPr>
              <w:spacing w:before="120" w:after="120"/>
              <w:jc w:val="both"/>
              <w:rPr>
                <w:rFonts w:eastAsia="Arial" w:cs="Arial"/>
                <w:b/>
                <w:bCs/>
                <w:color w:val="000000" w:themeColor="text1"/>
                <w:sz w:val="22"/>
                <w:szCs w:val="22"/>
                <w:lang w:val="en-US"/>
              </w:rPr>
            </w:pPr>
            <w:r w:rsidRPr="00127D3B">
              <w:rPr>
                <w:rFonts w:cs="Arial"/>
                <w:b/>
                <w:color w:val="000000" w:themeColor="text1"/>
              </w:rPr>
              <w:t>Quantity</w:t>
            </w:r>
            <w:r w:rsidR="00766978">
              <w:rPr>
                <w:rFonts w:cs="Arial"/>
                <w:b/>
                <w:color w:val="000000" w:themeColor="text1"/>
                <w:lang w:val="en-US"/>
              </w:rPr>
              <w:t>, up to</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BF65698" w14:textId="4CA0A9FB" w:rsidR="00155D73" w:rsidRPr="00757BB9" w:rsidRDefault="004E0DB6" w:rsidP="00127D3B">
            <w:pPr>
              <w:spacing w:before="120" w:after="120"/>
              <w:jc w:val="both"/>
              <w:rPr>
                <w:rFonts w:eastAsia="Arial" w:cs="Arial"/>
                <w:b/>
                <w:bCs/>
                <w:color w:val="000000" w:themeColor="text1"/>
              </w:rPr>
            </w:pPr>
            <w:r w:rsidRPr="00AB44F9">
              <w:rPr>
                <w:rFonts w:eastAsia="Arial" w:cs="Arial"/>
                <w:b/>
                <w:bCs/>
                <w:color w:val="000000" w:themeColor="text1"/>
              </w:rPr>
              <w:t>Amount UAH up to per night</w:t>
            </w: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464A9A3" w14:textId="5F024FF0" w:rsidR="00155D73" w:rsidRPr="00D93EF8" w:rsidRDefault="00155D73" w:rsidP="00127D3B">
            <w:pPr>
              <w:spacing w:before="120" w:after="120"/>
              <w:jc w:val="both"/>
              <w:rPr>
                <w:rFonts w:cs="Arial"/>
                <w:sz w:val="22"/>
                <w:szCs w:val="22"/>
              </w:rPr>
            </w:pPr>
            <w:r w:rsidRPr="00127D3B">
              <w:rPr>
                <w:rFonts w:cs="Arial"/>
                <w:b/>
                <w:color w:val="000000" w:themeColor="text1"/>
              </w:rPr>
              <w:t>Comments</w:t>
            </w:r>
            <w:r w:rsidR="00A842D4" w:rsidRPr="00127D3B">
              <w:rPr>
                <w:rFonts w:cs="Arial"/>
                <w:b/>
                <w:color w:val="000000" w:themeColor="text1"/>
              </w:rPr>
              <w:t xml:space="preserve"> (if any)  </w:t>
            </w:r>
          </w:p>
        </w:tc>
      </w:tr>
      <w:tr w:rsidR="00155D73" w14:paraId="53505343" w14:textId="77777777">
        <w:trPr>
          <w:trHeight w:val="330"/>
        </w:trPr>
        <w:tc>
          <w:tcPr>
            <w:tcW w:w="3109" w:type="dxa"/>
            <w:tcBorders>
              <w:top w:val="single" w:sz="8" w:space="0" w:color="auto"/>
              <w:left w:val="single" w:sz="8" w:space="0" w:color="auto"/>
              <w:bottom w:val="single" w:sz="8" w:space="0" w:color="auto"/>
              <w:right w:val="single" w:sz="8" w:space="0" w:color="auto"/>
            </w:tcBorders>
          </w:tcPr>
          <w:p w14:paraId="65A31F9C" w14:textId="57684194" w:rsidR="00155D73" w:rsidRPr="00D93EF8" w:rsidRDefault="00155D73" w:rsidP="004D10DC">
            <w:pPr>
              <w:spacing w:before="120" w:after="120"/>
              <w:jc w:val="both"/>
              <w:rPr>
                <w:rFonts w:cs="Arial"/>
                <w:sz w:val="22"/>
                <w:szCs w:val="22"/>
              </w:rPr>
            </w:pPr>
            <w:r w:rsidRPr="00127D3B">
              <w:rPr>
                <w:rFonts w:cs="Arial"/>
                <w:b/>
                <w:color w:val="000000" w:themeColor="text1"/>
              </w:rPr>
              <w:t>Overnight allowance in country of assignment</w:t>
            </w:r>
          </w:p>
        </w:tc>
        <w:tc>
          <w:tcPr>
            <w:tcW w:w="1134" w:type="dxa"/>
            <w:tcBorders>
              <w:top w:val="single" w:sz="8" w:space="0" w:color="auto"/>
              <w:left w:val="single" w:sz="8" w:space="0" w:color="auto"/>
              <w:bottom w:val="single" w:sz="8" w:space="0" w:color="auto"/>
              <w:right w:val="single" w:sz="8" w:space="0" w:color="auto"/>
            </w:tcBorders>
          </w:tcPr>
          <w:p w14:paraId="3E00824F" w14:textId="7EADBF4A" w:rsidR="00155D73" w:rsidRPr="00D93EF8" w:rsidRDefault="004D10DC" w:rsidP="00127D3B">
            <w:pPr>
              <w:spacing w:before="120" w:after="120"/>
              <w:jc w:val="both"/>
              <w:rPr>
                <w:rFonts w:eastAsia="Arial" w:cs="Arial"/>
                <w:b/>
                <w:bCs/>
                <w:color w:val="000000" w:themeColor="text1"/>
                <w:sz w:val="22"/>
                <w:szCs w:val="22"/>
              </w:rPr>
            </w:pPr>
            <w:r>
              <w:rPr>
                <w:rFonts w:eastAsia="Arial" w:cs="Arial"/>
                <w:b/>
                <w:color w:val="000000" w:themeColor="text1"/>
              </w:rPr>
              <w:fldChar w:fldCharType="begin">
                <w:ffData>
                  <w:name w:val=""/>
                  <w:enabled/>
                  <w:calcOnExit w:val="0"/>
                  <w:textInput>
                    <w:default w:val="nights"/>
                  </w:textInput>
                </w:ffData>
              </w:fldChar>
            </w:r>
            <w:r>
              <w:rPr>
                <w:rFonts w:eastAsia="Arial" w:cs="Arial"/>
                <w:b/>
                <w:color w:val="000000" w:themeColor="text1"/>
              </w:rPr>
              <w:instrText xml:space="preserve"> FORMTEXT </w:instrText>
            </w:r>
            <w:r>
              <w:rPr>
                <w:rFonts w:eastAsia="Arial" w:cs="Arial"/>
                <w:b/>
                <w:color w:val="000000" w:themeColor="text1"/>
              </w:rPr>
            </w:r>
            <w:r>
              <w:rPr>
                <w:rFonts w:eastAsia="Arial" w:cs="Arial"/>
                <w:b/>
                <w:color w:val="000000" w:themeColor="text1"/>
              </w:rPr>
              <w:fldChar w:fldCharType="separate"/>
            </w:r>
            <w:r>
              <w:rPr>
                <w:rFonts w:eastAsia="Arial" w:cs="Arial"/>
                <w:b/>
                <w:noProof/>
                <w:color w:val="000000" w:themeColor="text1"/>
              </w:rPr>
              <w:t>nights</w:t>
            </w:r>
            <w:r>
              <w:rPr>
                <w:rFonts w:eastAsia="Arial" w:cs="Arial"/>
                <w:b/>
                <w:color w:val="000000" w:themeColor="text1"/>
              </w:rPr>
              <w:fldChar w:fldCharType="end"/>
            </w:r>
          </w:p>
        </w:tc>
        <w:tc>
          <w:tcPr>
            <w:tcW w:w="1276" w:type="dxa"/>
            <w:tcBorders>
              <w:top w:val="single" w:sz="8" w:space="0" w:color="auto"/>
              <w:left w:val="single" w:sz="8" w:space="0" w:color="auto"/>
              <w:bottom w:val="single" w:sz="8" w:space="0" w:color="auto"/>
              <w:right w:val="single" w:sz="8" w:space="0" w:color="auto"/>
            </w:tcBorders>
          </w:tcPr>
          <w:p w14:paraId="3493D3FC" w14:textId="6CBD72B1" w:rsidR="00155D73" w:rsidRPr="00757BB9" w:rsidRDefault="004D10DC" w:rsidP="00127D3B">
            <w:pPr>
              <w:spacing w:before="120" w:after="120"/>
              <w:jc w:val="both"/>
              <w:rPr>
                <w:rFonts w:eastAsia="Arial" w:cs="Arial"/>
                <w:b/>
                <w:bCs/>
                <w:color w:val="000000" w:themeColor="text1"/>
                <w:sz w:val="22"/>
                <w:szCs w:val="22"/>
                <w:lang w:val="en-US"/>
              </w:rPr>
            </w:pPr>
            <w:r>
              <w:rPr>
                <w:rFonts w:eastAsia="Arial" w:cs="Arial"/>
                <w:b/>
                <w:color w:val="000000" w:themeColor="text1"/>
                <w:lang w:val="uk-UA"/>
              </w:rPr>
              <w:t>20</w:t>
            </w:r>
          </w:p>
        </w:tc>
        <w:tc>
          <w:tcPr>
            <w:tcW w:w="1275" w:type="dxa"/>
            <w:tcBorders>
              <w:top w:val="single" w:sz="8" w:space="0" w:color="auto"/>
              <w:left w:val="single" w:sz="8" w:space="0" w:color="auto"/>
              <w:bottom w:val="single" w:sz="8" w:space="0" w:color="auto"/>
              <w:right w:val="single" w:sz="8" w:space="0" w:color="auto"/>
            </w:tcBorders>
          </w:tcPr>
          <w:p w14:paraId="263848BC" w14:textId="6440F656" w:rsidR="00155D73" w:rsidRPr="00757BB9" w:rsidRDefault="004D10DC" w:rsidP="00127D3B">
            <w:pPr>
              <w:spacing w:before="120" w:after="120"/>
              <w:jc w:val="both"/>
              <w:rPr>
                <w:rFonts w:eastAsia="Arial" w:cs="Arial"/>
                <w:b/>
                <w:bCs/>
                <w:color w:val="000000" w:themeColor="text1"/>
                <w:lang w:val="en-US"/>
              </w:rPr>
            </w:pPr>
            <w:r w:rsidRPr="00AB44F9">
              <w:rPr>
                <w:rFonts w:eastAsia="Arial" w:cs="Arial"/>
                <w:b/>
                <w:color w:val="000000" w:themeColor="text1"/>
                <w:lang w:val="uk-UA"/>
              </w:rPr>
              <w:t>1500</w:t>
            </w:r>
          </w:p>
        </w:tc>
        <w:tc>
          <w:tcPr>
            <w:tcW w:w="3119" w:type="dxa"/>
            <w:tcBorders>
              <w:top w:val="single" w:sz="8" w:space="0" w:color="auto"/>
              <w:left w:val="single" w:sz="8" w:space="0" w:color="auto"/>
              <w:bottom w:val="single" w:sz="8" w:space="0" w:color="auto"/>
              <w:right w:val="single" w:sz="8" w:space="0" w:color="auto"/>
            </w:tcBorders>
          </w:tcPr>
          <w:p w14:paraId="584B1422" w14:textId="3DDF7B3E" w:rsidR="00155D73" w:rsidRPr="00D93EF8" w:rsidRDefault="004E0DB6" w:rsidP="004E0DB6">
            <w:pPr>
              <w:spacing w:before="120" w:after="120"/>
              <w:jc w:val="both"/>
              <w:rPr>
                <w:rFonts w:cs="Arial"/>
                <w:sz w:val="22"/>
                <w:szCs w:val="22"/>
              </w:rPr>
            </w:pPr>
            <w:r w:rsidRPr="004E0DB6">
              <w:rPr>
                <w:rFonts w:cs="Arial"/>
              </w:rPr>
              <w:t>A budget is earmarked for hotel accommodation to the following countries: Ukraine.</w:t>
            </w:r>
          </w:p>
        </w:tc>
      </w:tr>
      <w:tr w:rsidR="00155D73" w14:paraId="39985F1C" w14:textId="77777777">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B97154B" w14:textId="77777777" w:rsidR="00155D73" w:rsidRPr="00D93EF8" w:rsidRDefault="00155D73" w:rsidP="00127D3B">
            <w:pPr>
              <w:spacing w:before="120" w:after="120"/>
              <w:jc w:val="both"/>
              <w:rPr>
                <w:rFonts w:cs="Arial"/>
                <w:sz w:val="22"/>
                <w:szCs w:val="22"/>
              </w:rPr>
            </w:pPr>
            <w:r w:rsidRPr="00127D3B">
              <w:rPr>
                <w:rFonts w:cs="Arial"/>
                <w:b/>
                <w:color w:val="000000" w:themeColor="text1"/>
              </w:rPr>
              <w:t>Transport</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E18C3EC" w14:textId="55982BD4" w:rsidR="00155D73" w:rsidRPr="00D93EF8" w:rsidRDefault="00A842D4" w:rsidP="00127D3B">
            <w:pPr>
              <w:spacing w:before="120" w:after="120"/>
              <w:jc w:val="both"/>
              <w:rPr>
                <w:rFonts w:eastAsia="Arial" w:cs="Arial"/>
                <w:b/>
                <w:bCs/>
                <w:color w:val="000000" w:themeColor="text1"/>
                <w:sz w:val="22"/>
                <w:szCs w:val="22"/>
              </w:rPr>
            </w:pPr>
            <w:r w:rsidRPr="00127D3B">
              <w:rPr>
                <w:rFonts w:eastAsia="Arial" w:cs="Arial"/>
                <w:b/>
                <w:color w:val="000000" w:themeColor="text1"/>
              </w:rPr>
              <w:t>Unit of measurement</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721213C" w14:textId="6F7E9857" w:rsidR="00155D73" w:rsidRPr="00D93EF8" w:rsidRDefault="00A842D4" w:rsidP="00127D3B">
            <w:pPr>
              <w:spacing w:before="120" w:after="120"/>
              <w:jc w:val="both"/>
              <w:rPr>
                <w:rFonts w:eastAsia="Arial" w:cs="Arial"/>
                <w:b/>
                <w:bCs/>
                <w:color w:val="000000" w:themeColor="text1"/>
                <w:sz w:val="22"/>
                <w:szCs w:val="22"/>
              </w:rPr>
            </w:pPr>
            <w:r w:rsidRPr="00127D3B">
              <w:rPr>
                <w:rFonts w:cs="Arial"/>
                <w:b/>
                <w:color w:val="000000" w:themeColor="text1"/>
              </w:rPr>
              <w:t>Quantity</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D04AEDF" w14:textId="27EC6D00" w:rsidR="00155D73" w:rsidRPr="00757BB9" w:rsidRDefault="00AB44F9" w:rsidP="00127D3B">
            <w:pPr>
              <w:spacing w:before="120" w:after="120"/>
              <w:jc w:val="both"/>
              <w:rPr>
                <w:rFonts w:eastAsia="Arial" w:cs="Arial"/>
                <w:b/>
                <w:bCs/>
                <w:color w:val="000000" w:themeColor="text1"/>
              </w:rPr>
            </w:pPr>
            <w:r w:rsidRPr="00AB44F9">
              <w:rPr>
                <w:rFonts w:eastAsia="Arial" w:cs="Arial"/>
                <w:b/>
                <w:bCs/>
                <w:color w:val="000000" w:themeColor="text1"/>
              </w:rPr>
              <w:t>Amount</w:t>
            </w:r>
            <w:r>
              <w:rPr>
                <w:rFonts w:eastAsia="Arial" w:cs="Arial"/>
                <w:b/>
                <w:bCs/>
                <w:color w:val="000000" w:themeColor="text1"/>
              </w:rPr>
              <w:t>,</w:t>
            </w:r>
            <w:r w:rsidRPr="00AB44F9">
              <w:rPr>
                <w:rFonts w:eastAsia="Arial" w:cs="Arial"/>
                <w:b/>
                <w:bCs/>
                <w:color w:val="000000" w:themeColor="text1"/>
              </w:rPr>
              <w:t xml:space="preserve"> UAH</w:t>
            </w:r>
            <w:r>
              <w:rPr>
                <w:rFonts w:eastAsia="Arial" w:cs="Arial"/>
                <w:b/>
                <w:bCs/>
                <w:color w:val="000000" w:themeColor="text1"/>
              </w:rPr>
              <w:t>,</w:t>
            </w:r>
            <w:r w:rsidRPr="00AB44F9">
              <w:rPr>
                <w:rFonts w:eastAsia="Arial" w:cs="Arial"/>
                <w:b/>
                <w:bCs/>
                <w:color w:val="000000" w:themeColor="text1"/>
              </w:rPr>
              <w:t xml:space="preserve"> up to</w:t>
            </w: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7B58411" w14:textId="17DA916A" w:rsidR="00155D73" w:rsidRPr="00D93EF8" w:rsidRDefault="00A842D4" w:rsidP="00127D3B">
            <w:pPr>
              <w:spacing w:before="120" w:after="120"/>
              <w:jc w:val="both"/>
              <w:rPr>
                <w:rFonts w:cs="Arial"/>
                <w:sz w:val="22"/>
                <w:szCs w:val="22"/>
              </w:rPr>
            </w:pPr>
            <w:r w:rsidRPr="00127D3B">
              <w:rPr>
                <w:rFonts w:cs="Arial"/>
                <w:b/>
                <w:color w:val="000000" w:themeColor="text1"/>
              </w:rPr>
              <w:t xml:space="preserve">Comments (if any)  </w:t>
            </w:r>
          </w:p>
        </w:tc>
      </w:tr>
      <w:tr w:rsidR="00155D73" w14:paraId="747D22AC" w14:textId="77777777">
        <w:trPr>
          <w:trHeight w:val="330"/>
        </w:trPr>
        <w:tc>
          <w:tcPr>
            <w:tcW w:w="3109" w:type="dxa"/>
            <w:tcBorders>
              <w:top w:val="single" w:sz="8" w:space="0" w:color="auto"/>
              <w:left w:val="single" w:sz="8" w:space="0" w:color="auto"/>
              <w:bottom w:val="single" w:sz="8" w:space="0" w:color="auto"/>
              <w:right w:val="single" w:sz="8" w:space="0" w:color="auto"/>
            </w:tcBorders>
          </w:tcPr>
          <w:p w14:paraId="6E58C36D" w14:textId="4187C92C" w:rsidR="00155D73" w:rsidRPr="004D10DC" w:rsidRDefault="00155D73" w:rsidP="004D10DC">
            <w:pPr>
              <w:spacing w:before="120" w:after="120"/>
              <w:jc w:val="both"/>
              <w:rPr>
                <w:rFonts w:eastAsia="Arial" w:cs="Arial"/>
                <w:lang w:val="uk-UA"/>
              </w:rPr>
            </w:pPr>
            <w:r w:rsidRPr="00757BB9">
              <w:rPr>
                <w:rFonts w:cs="Arial"/>
                <w:b/>
                <w:color w:val="000000" w:themeColor="text1"/>
                <w:lang w:val="fr-FR"/>
              </w:rPr>
              <w:t xml:space="preserve">Travel expenses (train, </w:t>
            </w:r>
            <w:r w:rsidR="00D429C9" w:rsidRPr="00757BB9">
              <w:rPr>
                <w:rFonts w:cs="Arial"/>
                <w:b/>
                <w:color w:val="000000" w:themeColor="text1"/>
                <w:lang w:val="fr-FR"/>
              </w:rPr>
              <w:t>private vehicles</w:t>
            </w:r>
            <w:r w:rsidRPr="00757BB9">
              <w:rPr>
                <w:rFonts w:cs="Arial"/>
                <w:b/>
                <w:color w:val="000000" w:themeColor="text1"/>
                <w:lang w:val="fr-FR"/>
              </w:rPr>
              <w:t>)</w:t>
            </w:r>
          </w:p>
        </w:tc>
        <w:tc>
          <w:tcPr>
            <w:tcW w:w="1134" w:type="dxa"/>
            <w:tcBorders>
              <w:top w:val="single" w:sz="8" w:space="0" w:color="auto"/>
              <w:left w:val="single" w:sz="8" w:space="0" w:color="auto"/>
              <w:bottom w:val="single" w:sz="8" w:space="0" w:color="auto"/>
              <w:right w:val="single" w:sz="8" w:space="0" w:color="auto"/>
            </w:tcBorders>
          </w:tcPr>
          <w:p w14:paraId="5E4E248E" w14:textId="77777777" w:rsidR="00155D73" w:rsidRPr="00D93EF8" w:rsidRDefault="00155D73" w:rsidP="00127D3B">
            <w:pPr>
              <w:spacing w:before="120" w:after="120"/>
              <w:jc w:val="both"/>
              <w:rPr>
                <w:rFonts w:eastAsia="Arial" w:cs="Arial"/>
                <w:b/>
                <w:bCs/>
                <w:color w:val="000000" w:themeColor="text1"/>
                <w:sz w:val="22"/>
                <w:szCs w:val="22"/>
              </w:rPr>
            </w:pPr>
            <w:r w:rsidRPr="00D93EF8">
              <w:rPr>
                <w:rFonts w:eastAsia="Arial" w:cs="Arial"/>
                <w:b/>
                <w:color w:val="000000" w:themeColor="text1"/>
              </w:rPr>
              <w:fldChar w:fldCharType="begin" w:fldLock="1">
                <w:ffData>
                  <w:name w:val="Text59"/>
                  <w:enabled/>
                  <w:calcOnExit w:val="0"/>
                  <w:textInput/>
                </w:ffData>
              </w:fldChar>
            </w:r>
            <w:r w:rsidRPr="00127D3B">
              <w:rPr>
                <w:rFonts w:eastAsia="Arial" w:cs="Arial"/>
                <w:b/>
                <w:color w:val="000000" w:themeColor="text1"/>
              </w:rPr>
              <w:instrText xml:space="preserve"> FORMTEXT </w:instrText>
            </w:r>
            <w:r w:rsidRPr="00D93EF8">
              <w:rPr>
                <w:rFonts w:eastAsia="Arial" w:cs="Arial"/>
                <w:b/>
                <w:color w:val="000000" w:themeColor="text1"/>
              </w:rPr>
            </w:r>
            <w:r w:rsidRPr="00D93EF8">
              <w:rPr>
                <w:rFonts w:eastAsia="Arial" w:cs="Arial"/>
                <w:b/>
                <w:color w:val="000000" w:themeColor="text1"/>
              </w:rPr>
              <w:fldChar w:fldCharType="separate"/>
            </w:r>
            <w:r w:rsidRPr="00127D3B">
              <w:rPr>
                <w:rFonts w:cs="Arial"/>
                <w:b/>
                <w:color w:val="000000" w:themeColor="text1"/>
              </w:rPr>
              <w:t>     </w:t>
            </w:r>
            <w:r w:rsidRPr="00D93EF8">
              <w:rPr>
                <w:rFonts w:eastAsia="Arial" w:cs="Arial"/>
                <w:b/>
                <w:color w:val="000000" w:themeColor="text1"/>
              </w:rPr>
              <w:fldChar w:fldCharType="end"/>
            </w:r>
          </w:p>
        </w:tc>
        <w:tc>
          <w:tcPr>
            <w:tcW w:w="1276" w:type="dxa"/>
            <w:tcBorders>
              <w:top w:val="single" w:sz="8" w:space="0" w:color="auto"/>
              <w:left w:val="single" w:sz="8" w:space="0" w:color="auto"/>
              <w:bottom w:val="single" w:sz="8" w:space="0" w:color="auto"/>
              <w:right w:val="single" w:sz="8" w:space="0" w:color="auto"/>
            </w:tcBorders>
          </w:tcPr>
          <w:p w14:paraId="76DD5471" w14:textId="44ED8FEC" w:rsidR="00155D73" w:rsidRPr="00D93EF8" w:rsidRDefault="004D10DC" w:rsidP="00127D3B">
            <w:pPr>
              <w:spacing w:before="120" w:after="120"/>
              <w:jc w:val="both"/>
              <w:rPr>
                <w:rFonts w:eastAsia="Arial" w:cs="Arial"/>
                <w:b/>
                <w:bCs/>
                <w:color w:val="000000" w:themeColor="text1"/>
                <w:sz w:val="22"/>
                <w:szCs w:val="22"/>
              </w:rPr>
            </w:pPr>
            <w:r>
              <w:rPr>
                <w:rFonts w:eastAsia="Arial" w:cs="Arial"/>
                <w:b/>
                <w:color w:val="000000" w:themeColor="text1"/>
              </w:rPr>
              <w:t>1</w:t>
            </w:r>
          </w:p>
        </w:tc>
        <w:tc>
          <w:tcPr>
            <w:tcW w:w="1275" w:type="dxa"/>
            <w:tcBorders>
              <w:top w:val="single" w:sz="8" w:space="0" w:color="auto"/>
              <w:left w:val="single" w:sz="8" w:space="0" w:color="auto"/>
              <w:bottom w:val="single" w:sz="8" w:space="0" w:color="auto"/>
              <w:right w:val="single" w:sz="8" w:space="0" w:color="auto"/>
            </w:tcBorders>
          </w:tcPr>
          <w:p w14:paraId="23FD72BB" w14:textId="78230345" w:rsidR="00155D73" w:rsidRPr="004D10DC" w:rsidRDefault="008212F9" w:rsidP="00127D3B">
            <w:pPr>
              <w:spacing w:before="120" w:after="120"/>
              <w:jc w:val="both"/>
              <w:rPr>
                <w:rFonts w:eastAsia="Arial" w:cs="Arial"/>
                <w:b/>
                <w:bCs/>
                <w:color w:val="000000" w:themeColor="text1"/>
                <w:sz w:val="22"/>
                <w:szCs w:val="22"/>
                <w:lang w:val="uk-UA"/>
              </w:rPr>
            </w:pPr>
            <w:r>
              <w:rPr>
                <w:rFonts w:eastAsia="Arial" w:cs="Arial"/>
                <w:b/>
                <w:color w:val="000000" w:themeColor="text1"/>
                <w:lang w:val="en-US"/>
              </w:rPr>
              <w:t>200</w:t>
            </w:r>
            <w:r w:rsidR="004D10DC">
              <w:rPr>
                <w:rFonts w:eastAsia="Arial" w:cs="Arial"/>
                <w:b/>
                <w:color w:val="000000" w:themeColor="text1"/>
                <w:lang w:val="uk-UA"/>
              </w:rPr>
              <w:t>.000</w:t>
            </w:r>
          </w:p>
        </w:tc>
        <w:tc>
          <w:tcPr>
            <w:tcW w:w="3119" w:type="dxa"/>
            <w:tcBorders>
              <w:top w:val="single" w:sz="8" w:space="0" w:color="auto"/>
              <w:left w:val="single" w:sz="8" w:space="0" w:color="auto"/>
              <w:bottom w:val="single" w:sz="8" w:space="0" w:color="auto"/>
              <w:right w:val="single" w:sz="8" w:space="0" w:color="auto"/>
            </w:tcBorders>
          </w:tcPr>
          <w:p w14:paraId="4D273731" w14:textId="7E7FE8C2" w:rsidR="00155D73" w:rsidRPr="00D93EF8" w:rsidRDefault="00155D73" w:rsidP="00127D3B">
            <w:pPr>
              <w:spacing w:before="120" w:after="120"/>
              <w:jc w:val="both"/>
              <w:rPr>
                <w:rFonts w:eastAsia="Arial" w:cs="Arial"/>
                <w:sz w:val="22"/>
                <w:szCs w:val="22"/>
              </w:rPr>
            </w:pPr>
            <w:r w:rsidRPr="00127D3B">
              <w:rPr>
                <w:rFonts w:cs="Arial"/>
              </w:rPr>
              <w:t>Travel within the country of assignment</w:t>
            </w:r>
            <w:r w:rsidR="00D429C9">
              <w:rPr>
                <w:rFonts w:cs="Arial"/>
              </w:rPr>
              <w:t>.</w:t>
            </w:r>
          </w:p>
        </w:tc>
      </w:tr>
    </w:tbl>
    <w:p w14:paraId="6F2F3D0F" w14:textId="73BA594A" w:rsidR="00247D33" w:rsidRDefault="00247D33" w:rsidP="00127D3B">
      <w:pPr>
        <w:pStyle w:val="Heading2"/>
        <w:jc w:val="both"/>
        <w:rPr>
          <w:rFonts w:cs="Arial"/>
          <w:lang w:val="en-US"/>
        </w:rPr>
      </w:pPr>
      <w:r w:rsidRPr="00D93EF8">
        <w:rPr>
          <w:rFonts w:eastAsiaTheme="minorHAnsi" w:cs="Arial"/>
          <w:b w:val="0"/>
          <w:bCs w:val="0"/>
          <w:szCs w:val="22"/>
          <w:lang w:val="en-US"/>
        </w:rPr>
        <w:lastRenderedPageBreak/>
        <w:t xml:space="preserve">There is no contractual </w:t>
      </w:r>
      <w:r w:rsidR="002A048B">
        <w:rPr>
          <w:rFonts w:eastAsiaTheme="minorHAnsi" w:cs="Arial"/>
          <w:b w:val="0"/>
          <w:bCs w:val="0"/>
          <w:szCs w:val="22"/>
          <w:lang w:val="en-US"/>
        </w:rPr>
        <w:t>obligations</w:t>
      </w:r>
      <w:r w:rsidRPr="00D93EF8">
        <w:rPr>
          <w:rFonts w:eastAsiaTheme="minorHAnsi" w:cs="Arial"/>
          <w:b w:val="0"/>
          <w:bCs w:val="0"/>
          <w:szCs w:val="22"/>
          <w:lang w:val="en-US"/>
        </w:rPr>
        <w:t xml:space="preserve"> to use up the full days/travel or budgets. The number of days/travel and the budgets will be contractually agreed as</w:t>
      </w:r>
      <w:r w:rsidRPr="00100B49">
        <w:rPr>
          <w:rFonts w:cs="Arial"/>
          <w:lang w:val="en-US"/>
        </w:rPr>
        <w:t xml:space="preserve"> maximum amounts. </w:t>
      </w:r>
    </w:p>
    <w:p w14:paraId="231EC75F" w14:textId="421D8D2F" w:rsidR="00A82C80" w:rsidRPr="001261F8" w:rsidRDefault="00A82C80" w:rsidP="00696913">
      <w:pPr>
        <w:pStyle w:val="Heading1"/>
        <w:numPr>
          <w:ilvl w:val="0"/>
          <w:numId w:val="5"/>
        </w:numPr>
        <w:jc w:val="both"/>
      </w:pPr>
      <w:r w:rsidRPr="001261F8">
        <w:fldChar w:fldCharType="begin" w:fldLock="1">
          <w:ffData>
            <w:name w:val="Text85"/>
            <w:enabled/>
            <w:calcOnExit w:val="0"/>
            <w:textInput/>
          </w:ffData>
        </w:fldChar>
      </w:r>
      <w:r w:rsidRPr="001261F8">
        <w:instrText xml:space="preserve"> FORMTEXT </w:instrText>
      </w:r>
      <w:r w:rsidRPr="001261F8">
        <w:fldChar w:fldCharType="separate"/>
      </w:r>
      <w:r w:rsidRPr="001261F8">
        <w:fldChar w:fldCharType="end"/>
      </w:r>
      <w:r w:rsidRPr="001261F8">
        <w:fldChar w:fldCharType="begin" w:fldLock="1">
          <w:ffData>
            <w:name w:val="Text89"/>
            <w:enabled/>
            <w:calcOnExit w:val="0"/>
            <w:textInput/>
          </w:ffData>
        </w:fldChar>
      </w:r>
      <w:r w:rsidRPr="001261F8">
        <w:instrText xml:space="preserve"> FORMTEXT </w:instrText>
      </w:r>
      <w:r w:rsidRPr="001261F8">
        <w:fldChar w:fldCharType="separate"/>
      </w:r>
      <w:r w:rsidRPr="001261F8">
        <w:fldChar w:fldCharType="end"/>
      </w:r>
      <w:r w:rsidRPr="001261F8">
        <w:fldChar w:fldCharType="begin" w:fldLock="1">
          <w:ffData>
            <w:name w:val="Text94"/>
            <w:enabled/>
            <w:calcOnExit w:val="0"/>
            <w:textInput/>
          </w:ffData>
        </w:fldChar>
      </w:r>
      <w:r w:rsidRPr="001261F8">
        <w:instrText xml:space="preserve"> FORMTEXT </w:instrText>
      </w:r>
      <w:r w:rsidRPr="001261F8">
        <w:fldChar w:fldCharType="separate"/>
      </w:r>
      <w:r w:rsidRPr="001261F8">
        <w:fldChar w:fldCharType="end"/>
      </w:r>
      <w:bookmarkStart w:id="52" w:name="_Toc126094251"/>
      <w:r>
        <w:t xml:space="preserve">Inputs of GIZ or other </w:t>
      </w:r>
      <w:r w:rsidRPr="000E6FEB">
        <w:t>actors</w:t>
      </w:r>
      <w:bookmarkEnd w:id="52"/>
      <w:r w:rsidR="00FA295A" w:rsidRPr="000E6FEB">
        <w:t xml:space="preserve"> </w:t>
      </w:r>
      <w:r w:rsidR="00B80F0F" w:rsidRPr="000E6FEB">
        <w:t xml:space="preserve">– </w:t>
      </w:r>
      <w:r w:rsidR="00FA295A" w:rsidRPr="000E6FEB">
        <w:rPr>
          <w:rFonts w:eastAsiaTheme="minorHAnsi" w:cs="Arial"/>
          <w:b w:val="0"/>
          <w:bCs w:val="0"/>
          <w:szCs w:val="22"/>
        </w:rPr>
        <w:t>Not Applicable</w:t>
      </w:r>
    </w:p>
    <w:p w14:paraId="6EC90B8C" w14:textId="0647B521" w:rsidR="004E7A98" w:rsidRPr="00D93EF8" w:rsidRDefault="001045E0" w:rsidP="00696913">
      <w:pPr>
        <w:pStyle w:val="ListParagraph"/>
        <w:numPr>
          <w:ilvl w:val="0"/>
          <w:numId w:val="5"/>
        </w:numPr>
        <w:tabs>
          <w:tab w:val="left" w:pos="284"/>
        </w:tabs>
        <w:ind w:left="0" w:firstLine="0"/>
        <w:jc w:val="both"/>
        <w:rPr>
          <w:b/>
          <w:lang w:val="uk-UA"/>
        </w:rPr>
      </w:pPr>
      <w:bookmarkStart w:id="53" w:name="_Toc127948119"/>
      <w:bookmarkEnd w:id="45"/>
      <w:bookmarkEnd w:id="46"/>
      <w:bookmarkEnd w:id="47"/>
      <w:r w:rsidRPr="004E7A98">
        <w:rPr>
          <w:b/>
        </w:rPr>
        <w:t>Financial provisions</w:t>
      </w:r>
      <w:bookmarkEnd w:id="53"/>
    </w:p>
    <w:p w14:paraId="04706561" w14:textId="3F6B6E0D" w:rsidR="00DD731A" w:rsidRPr="00127D3B" w:rsidRDefault="00DD731A" w:rsidP="00696913">
      <w:pPr>
        <w:pStyle w:val="ListParagraph"/>
        <w:numPr>
          <w:ilvl w:val="1"/>
          <w:numId w:val="5"/>
        </w:numPr>
        <w:tabs>
          <w:tab w:val="left" w:pos="567"/>
        </w:tabs>
        <w:spacing w:line="240" w:lineRule="exact"/>
        <w:ind w:left="0" w:firstLine="0"/>
        <w:jc w:val="both"/>
        <w:rPr>
          <w:rFonts w:eastAsia="Arial" w:cs="Arial"/>
          <w:b/>
          <w:color w:val="000000"/>
          <w:lang w:eastAsia="uk-UA"/>
        </w:rPr>
      </w:pPr>
      <w:bookmarkStart w:id="54" w:name="_Toc508620009"/>
      <w:bookmarkStart w:id="55" w:name="_Toc119493833"/>
      <w:bookmarkEnd w:id="48"/>
      <w:r w:rsidRPr="00127D3B">
        <w:rPr>
          <w:rFonts w:eastAsia="Arial" w:cs="Arial"/>
          <w:b/>
          <w:color w:val="000000"/>
          <w:lang w:eastAsia="uk-UA"/>
        </w:rPr>
        <w:t>Contract value and</w:t>
      </w:r>
      <w:r w:rsidR="00BC5328" w:rsidRPr="00127D3B">
        <w:rPr>
          <w:rFonts w:eastAsia="Arial" w:cs="Arial"/>
          <w:b/>
          <w:color w:val="000000"/>
          <w:lang w:eastAsia="uk-UA"/>
        </w:rPr>
        <w:t xml:space="preserve"> </w:t>
      </w:r>
      <w:r w:rsidR="00BC5328" w:rsidRPr="00127D3B">
        <w:rPr>
          <w:rStyle w:val="normaltextrun"/>
          <w:rFonts w:cs="Arial"/>
          <w:b/>
          <w:bCs/>
          <w:color w:val="000000"/>
          <w:shd w:val="clear" w:color="auto" w:fill="FFFFFF"/>
          <w:lang w:val="en-US"/>
        </w:rPr>
        <w:t>anticipated</w:t>
      </w:r>
      <w:r w:rsidRPr="00127D3B">
        <w:rPr>
          <w:rFonts w:eastAsia="Arial" w:cs="Arial"/>
          <w:b/>
          <w:color w:val="000000"/>
          <w:lang w:eastAsia="uk-UA"/>
        </w:rPr>
        <w:t xml:space="preserve"> payment schedule</w:t>
      </w:r>
    </w:p>
    <w:p w14:paraId="5C3C1953" w14:textId="07FC74C7" w:rsidR="00BC5328" w:rsidRPr="00127D3B" w:rsidRDefault="00DD731A" w:rsidP="00127D3B">
      <w:pPr>
        <w:tabs>
          <w:tab w:val="left" w:pos="3261"/>
        </w:tabs>
        <w:spacing w:line="240" w:lineRule="exact"/>
        <w:contextualSpacing/>
        <w:jc w:val="both"/>
        <w:rPr>
          <w:rFonts w:eastAsia="Times New Roman" w:cs="Arial"/>
          <w:lang w:eastAsia="uk-UA"/>
        </w:rPr>
      </w:pPr>
      <w:r w:rsidRPr="00127D3B">
        <w:rPr>
          <w:rFonts w:eastAsia="Times New Roman" w:cs="Arial"/>
          <w:lang w:eastAsia="uk-UA"/>
        </w:rPr>
        <w:t xml:space="preserve">The </w:t>
      </w:r>
      <w:r w:rsidR="008F14EA" w:rsidRPr="00127D3B">
        <w:rPr>
          <w:rFonts w:eastAsia="Times New Roman" w:cs="Arial"/>
          <w:lang w:eastAsia="uk-UA"/>
        </w:rPr>
        <w:t xml:space="preserve">contract value shall be calculated </w:t>
      </w:r>
      <w:r w:rsidR="00511A52" w:rsidRPr="00127D3B">
        <w:rPr>
          <w:rFonts w:eastAsia="Times New Roman" w:cs="Arial"/>
          <w:lang w:eastAsia="uk-UA"/>
        </w:rPr>
        <w:t>according to the format of the</w:t>
      </w:r>
      <w:r w:rsidR="001E0C68" w:rsidRPr="00127D3B">
        <w:rPr>
          <w:rFonts w:eastAsia="Times New Roman" w:cs="Arial"/>
          <w:lang w:eastAsia="uk-UA"/>
        </w:rPr>
        <w:t xml:space="preserve"> commercial</w:t>
      </w:r>
      <w:r w:rsidR="00511A52" w:rsidRPr="00127D3B">
        <w:rPr>
          <w:rFonts w:eastAsia="Times New Roman" w:cs="Arial"/>
          <w:lang w:eastAsia="uk-UA"/>
        </w:rPr>
        <w:t xml:space="preserve"> bid.</w:t>
      </w:r>
    </w:p>
    <w:p w14:paraId="26BFF238" w14:textId="77777777" w:rsidR="00BC5328" w:rsidRPr="00127D3B" w:rsidRDefault="00BC5328" w:rsidP="00127D3B">
      <w:pPr>
        <w:tabs>
          <w:tab w:val="left" w:pos="3261"/>
        </w:tabs>
        <w:spacing w:line="240" w:lineRule="exact"/>
        <w:contextualSpacing/>
        <w:jc w:val="both"/>
        <w:rPr>
          <w:rFonts w:eastAsia="Times New Roman" w:cs="Arial"/>
          <w:lang w:eastAsia="uk-UA"/>
        </w:rPr>
      </w:pPr>
    </w:p>
    <w:p w14:paraId="4F5567B5" w14:textId="7EF8DC6C" w:rsidR="00DD731A" w:rsidRPr="00D93EF8" w:rsidRDefault="00BC5328" w:rsidP="00127D3B">
      <w:pPr>
        <w:tabs>
          <w:tab w:val="left" w:pos="3261"/>
        </w:tabs>
        <w:spacing w:line="240" w:lineRule="exact"/>
        <w:contextualSpacing/>
        <w:jc w:val="both"/>
        <w:rPr>
          <w:rFonts w:eastAsia="Times New Roman" w:cs="Arial"/>
          <w:lang w:val="uk-UA" w:eastAsia="uk-UA"/>
        </w:rPr>
      </w:pPr>
      <w:r w:rsidRPr="00127D3B">
        <w:rPr>
          <w:rStyle w:val="normaltextrun"/>
          <w:rFonts w:cs="Arial"/>
          <w:b/>
          <w:bCs/>
          <w:color w:val="000000"/>
          <w:shd w:val="clear" w:color="auto" w:fill="FFFFFF"/>
          <w:lang w:val="en-US"/>
        </w:rPr>
        <w:t>Anticipated payment schedule:</w:t>
      </w:r>
    </w:p>
    <w:p w14:paraId="604020D0" w14:textId="77777777" w:rsidR="005A2CDF" w:rsidRPr="00127D3B" w:rsidRDefault="005A2CDF" w:rsidP="00127D3B">
      <w:pPr>
        <w:tabs>
          <w:tab w:val="left" w:pos="3261"/>
        </w:tabs>
        <w:spacing w:line="240" w:lineRule="exact"/>
        <w:contextualSpacing/>
        <w:jc w:val="both"/>
        <w:rPr>
          <w:rFonts w:eastAsia="Times New Roman" w:cs="Arial"/>
          <w:lang w:eastAsia="uk-UA"/>
        </w:rPr>
      </w:pPr>
    </w:p>
    <w:p w14:paraId="5EBF2439" w14:textId="4ADC72CE" w:rsidR="005A2CDF" w:rsidRPr="00127D3B" w:rsidRDefault="005A2CDF" w:rsidP="00127D3B">
      <w:pPr>
        <w:tabs>
          <w:tab w:val="left" w:pos="3261"/>
        </w:tabs>
        <w:spacing w:line="240" w:lineRule="exact"/>
        <w:contextualSpacing/>
        <w:jc w:val="both"/>
        <w:rPr>
          <w:rStyle w:val="normaltextrun"/>
          <w:rFonts w:cs="Arial"/>
          <w:color w:val="000000"/>
          <w:shd w:val="clear" w:color="auto" w:fill="FFFFFF"/>
        </w:rPr>
      </w:pPr>
      <w:r w:rsidRPr="00127D3B">
        <w:rPr>
          <w:rStyle w:val="normaltextrun"/>
          <w:rFonts w:cs="Arial"/>
          <w:color w:val="000000"/>
          <w:shd w:val="clear" w:color="auto" w:fill="FFFFFF"/>
        </w:rPr>
        <w:t xml:space="preserve">In consideration of </w:t>
      </w:r>
      <w:r w:rsidRPr="008362A5">
        <w:rPr>
          <w:rStyle w:val="normaltextrun"/>
          <w:rFonts w:cs="Arial"/>
          <w:color w:val="000000"/>
          <w:shd w:val="clear" w:color="auto" w:fill="FFFFFF"/>
        </w:rPr>
        <w:t>services</w:t>
      </w:r>
      <w:r w:rsidRPr="00127D3B">
        <w:rPr>
          <w:rStyle w:val="normaltextrun"/>
          <w:rFonts w:cs="Arial"/>
          <w:color w:val="000000"/>
          <w:shd w:val="clear" w:color="auto" w:fill="FFFFFF"/>
        </w:rPr>
        <w:t xml:space="preserve"> completed, the Contractor shall be paid </w:t>
      </w:r>
      <w:r w:rsidR="00230E53" w:rsidRPr="00127D3B">
        <w:rPr>
          <w:rStyle w:val="normaltextrun"/>
          <w:rFonts w:cs="Arial"/>
          <w:color w:val="000000"/>
          <w:shd w:val="clear" w:color="auto" w:fill="FFFFFF"/>
        </w:rPr>
        <w:t>in the following instalments</w:t>
      </w:r>
      <w:r w:rsidR="00ED1583">
        <w:rPr>
          <w:rStyle w:val="normaltextrun"/>
          <w:rFonts w:cs="Arial"/>
          <w:color w:val="000000"/>
          <w:shd w:val="clear" w:color="auto" w:fill="FFFFFF"/>
        </w:rPr>
        <w:t>:</w:t>
      </w:r>
    </w:p>
    <w:p w14:paraId="1EEC5B30" w14:textId="77777777" w:rsidR="00625481" w:rsidRPr="00127D3B" w:rsidRDefault="00625481" w:rsidP="00127D3B">
      <w:pPr>
        <w:tabs>
          <w:tab w:val="left" w:pos="3261"/>
        </w:tabs>
        <w:spacing w:line="240" w:lineRule="exact"/>
        <w:contextualSpacing/>
        <w:jc w:val="both"/>
        <w:rPr>
          <w:rStyle w:val="normaltextrun"/>
          <w:rFonts w:cs="Arial"/>
          <w:color w:val="000000"/>
          <w:shd w:val="clear" w:color="auto" w:fill="FFFFFF"/>
        </w:rPr>
      </w:pPr>
    </w:p>
    <w:p w14:paraId="48790A4D" w14:textId="77777777" w:rsidR="005A2CDF" w:rsidRPr="00127D3B" w:rsidRDefault="005A2CDF" w:rsidP="00127D3B">
      <w:pPr>
        <w:tabs>
          <w:tab w:val="left" w:pos="3261"/>
        </w:tabs>
        <w:spacing w:line="240" w:lineRule="exact"/>
        <w:contextualSpacing/>
        <w:jc w:val="both"/>
        <w:rPr>
          <w:rFonts w:eastAsia="Times New Roman" w:cs="Arial"/>
          <w:lang w:eastAsia="uk-UA"/>
        </w:rPr>
      </w:pPr>
    </w:p>
    <w:tbl>
      <w:tblPr>
        <w:tblW w:w="95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0"/>
        <w:gridCol w:w="1616"/>
        <w:gridCol w:w="4394"/>
        <w:gridCol w:w="1571"/>
      </w:tblGrid>
      <w:tr w:rsidR="00747DDC" w:rsidRPr="00625481" w14:paraId="3FCB516F" w14:textId="77777777" w:rsidTr="00747DDC">
        <w:trPr>
          <w:trHeight w:val="705"/>
        </w:trPr>
        <w:tc>
          <w:tcPr>
            <w:tcW w:w="1920" w:type="dxa"/>
            <w:tcBorders>
              <w:top w:val="single" w:sz="6" w:space="0" w:color="auto"/>
              <w:left w:val="single" w:sz="6" w:space="0" w:color="auto"/>
              <w:bottom w:val="single" w:sz="6" w:space="0" w:color="auto"/>
              <w:right w:val="single" w:sz="6" w:space="0" w:color="auto"/>
            </w:tcBorders>
            <w:hideMark/>
          </w:tcPr>
          <w:p w14:paraId="49E5DE84" w14:textId="77777777" w:rsidR="00747DDC" w:rsidRPr="00D93EF8" w:rsidRDefault="00747DDC" w:rsidP="00127D3B">
            <w:pPr>
              <w:spacing w:after="0"/>
              <w:jc w:val="both"/>
              <w:textAlignment w:val="baseline"/>
              <w:rPr>
                <w:rFonts w:eastAsia="Times New Roman" w:cs="Arial"/>
                <w:lang w:val="uk-UA" w:eastAsia="uk-UA"/>
              </w:rPr>
            </w:pPr>
            <w:r w:rsidRPr="00D93EF8">
              <w:rPr>
                <w:rFonts w:eastAsia="Times New Roman" w:cs="Arial"/>
                <w:b/>
                <w:bCs/>
                <w:lang w:eastAsia="uk-UA"/>
              </w:rPr>
              <w:t>Instalment #</w:t>
            </w:r>
            <w:r w:rsidRPr="00D93EF8">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hideMark/>
          </w:tcPr>
          <w:p w14:paraId="12964699" w14:textId="44E9E8B8" w:rsidR="00747DDC" w:rsidRPr="00D93EF8" w:rsidRDefault="00747DDC" w:rsidP="00127D3B">
            <w:pPr>
              <w:spacing w:after="0"/>
              <w:jc w:val="both"/>
              <w:textAlignment w:val="baseline"/>
              <w:rPr>
                <w:rFonts w:eastAsia="Times New Roman" w:cs="Arial"/>
                <w:lang w:val="uk-UA" w:eastAsia="uk-UA"/>
              </w:rPr>
            </w:pPr>
            <w:r w:rsidRPr="00D93EF8">
              <w:rPr>
                <w:rFonts w:eastAsia="Times New Roman" w:cs="Arial"/>
                <w:b/>
                <w:bCs/>
                <w:lang w:eastAsia="uk-UA"/>
              </w:rPr>
              <w:t>Anticipated payment date</w:t>
            </w:r>
          </w:p>
        </w:tc>
        <w:tc>
          <w:tcPr>
            <w:tcW w:w="4394" w:type="dxa"/>
            <w:tcBorders>
              <w:top w:val="single" w:sz="6" w:space="0" w:color="auto"/>
              <w:left w:val="single" w:sz="4" w:space="0" w:color="auto"/>
              <w:bottom w:val="single" w:sz="6" w:space="0" w:color="auto"/>
              <w:right w:val="single" w:sz="6" w:space="0" w:color="auto"/>
            </w:tcBorders>
          </w:tcPr>
          <w:p w14:paraId="4F41BEF1" w14:textId="0C583840" w:rsidR="00747DDC" w:rsidRPr="00D93EF8" w:rsidRDefault="00747DDC" w:rsidP="005D62D0">
            <w:pPr>
              <w:spacing w:after="160" w:line="259" w:lineRule="auto"/>
              <w:ind w:right="77"/>
              <w:jc w:val="both"/>
              <w:rPr>
                <w:rFonts w:eastAsia="Times New Roman" w:cs="Arial"/>
                <w:lang w:val="uk-UA" w:eastAsia="uk-UA"/>
              </w:rPr>
            </w:pPr>
            <w:r>
              <w:rPr>
                <w:rFonts w:eastAsia="Times New Roman" w:cs="Arial"/>
                <w:b/>
                <w:bCs/>
                <w:lang w:eastAsia="uk-UA"/>
              </w:rPr>
              <w:t>P</w:t>
            </w:r>
            <w:r w:rsidRPr="00D43FAE">
              <w:rPr>
                <w:rFonts w:eastAsia="Times New Roman" w:cs="Arial"/>
                <w:b/>
                <w:bCs/>
                <w:lang w:eastAsia="uk-UA"/>
              </w:rPr>
              <w:t>ayment of up to % from total contract value</w:t>
            </w:r>
          </w:p>
        </w:tc>
        <w:tc>
          <w:tcPr>
            <w:tcW w:w="1571" w:type="dxa"/>
            <w:tcBorders>
              <w:top w:val="single" w:sz="6" w:space="0" w:color="auto"/>
              <w:left w:val="single" w:sz="6" w:space="0" w:color="auto"/>
              <w:bottom w:val="single" w:sz="6" w:space="0" w:color="auto"/>
              <w:right w:val="single" w:sz="6" w:space="0" w:color="auto"/>
            </w:tcBorders>
            <w:hideMark/>
          </w:tcPr>
          <w:p w14:paraId="16BF3753" w14:textId="11AA59BF" w:rsidR="00747DDC" w:rsidRPr="00D93EF8" w:rsidRDefault="00747DDC" w:rsidP="00127D3B">
            <w:pPr>
              <w:spacing w:after="0"/>
              <w:jc w:val="both"/>
              <w:textAlignment w:val="baseline"/>
              <w:rPr>
                <w:rFonts w:eastAsia="Times New Roman" w:cs="Arial"/>
                <w:lang w:val="uk-UA" w:eastAsia="uk-UA"/>
              </w:rPr>
            </w:pPr>
            <w:r w:rsidRPr="00D93EF8">
              <w:rPr>
                <w:rFonts w:eastAsia="Times New Roman" w:cs="Arial"/>
                <w:b/>
                <w:bCs/>
                <w:lang w:eastAsia="uk-UA"/>
              </w:rPr>
              <w:t>Deliverables and reporting</w:t>
            </w:r>
            <w:r w:rsidRPr="00D93EF8">
              <w:rPr>
                <w:rFonts w:eastAsia="Times New Roman" w:cs="Arial"/>
                <w:lang w:val="uk-UA" w:eastAsia="uk-UA"/>
              </w:rPr>
              <w:t> </w:t>
            </w:r>
          </w:p>
        </w:tc>
      </w:tr>
      <w:tr w:rsidR="000255A8" w:rsidRPr="00625481" w14:paraId="365A4769" w14:textId="77777777" w:rsidTr="00747DDC">
        <w:trPr>
          <w:trHeight w:val="225"/>
        </w:trPr>
        <w:tc>
          <w:tcPr>
            <w:tcW w:w="1920" w:type="dxa"/>
            <w:tcBorders>
              <w:top w:val="single" w:sz="6" w:space="0" w:color="auto"/>
              <w:left w:val="single" w:sz="6" w:space="0" w:color="auto"/>
              <w:bottom w:val="single" w:sz="6" w:space="0" w:color="auto"/>
              <w:right w:val="single" w:sz="6" w:space="0" w:color="auto"/>
            </w:tcBorders>
            <w:hideMark/>
          </w:tcPr>
          <w:p w14:paraId="75FFF898" w14:textId="77777777" w:rsidR="000255A8" w:rsidRPr="00D93EF8" w:rsidRDefault="000255A8" w:rsidP="000255A8">
            <w:pPr>
              <w:spacing w:after="0"/>
              <w:jc w:val="both"/>
              <w:textAlignment w:val="baseline"/>
              <w:rPr>
                <w:rFonts w:eastAsia="Times New Roman" w:cs="Arial"/>
                <w:lang w:val="uk-UA" w:eastAsia="uk-UA"/>
              </w:rPr>
            </w:pPr>
            <w:r w:rsidRPr="00D93EF8">
              <w:rPr>
                <w:rFonts w:eastAsia="Times New Roman" w:cs="Arial"/>
                <w:lang w:eastAsia="uk-UA"/>
              </w:rPr>
              <w:t>1 Interim payment</w:t>
            </w:r>
            <w:r w:rsidRPr="00D93EF8">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tcPr>
          <w:p w14:paraId="77F0E749" w14:textId="10F0F6CF" w:rsidR="000255A8" w:rsidRPr="00D93EF8" w:rsidRDefault="000255A8" w:rsidP="000255A8">
            <w:pPr>
              <w:spacing w:after="0"/>
              <w:jc w:val="both"/>
              <w:textAlignment w:val="baseline"/>
              <w:rPr>
                <w:rFonts w:eastAsia="Times New Roman" w:cs="Arial"/>
                <w:lang w:val="uk-UA" w:eastAsia="uk-UA"/>
              </w:rPr>
            </w:pPr>
            <w:r>
              <w:rPr>
                <w:lang w:val="de-DE"/>
              </w:rPr>
              <w:t>31.01.2026</w:t>
            </w:r>
          </w:p>
        </w:tc>
        <w:tc>
          <w:tcPr>
            <w:tcW w:w="4394" w:type="dxa"/>
            <w:tcBorders>
              <w:top w:val="single" w:sz="6" w:space="0" w:color="auto"/>
              <w:left w:val="single" w:sz="4" w:space="0" w:color="auto"/>
              <w:bottom w:val="single" w:sz="6" w:space="0" w:color="auto"/>
              <w:right w:val="single" w:sz="6" w:space="0" w:color="auto"/>
            </w:tcBorders>
          </w:tcPr>
          <w:p w14:paraId="392C8303" w14:textId="6425DE68" w:rsidR="000255A8" w:rsidRPr="00D93EF8" w:rsidRDefault="000255A8" w:rsidP="000255A8">
            <w:pPr>
              <w:spacing w:after="0"/>
              <w:jc w:val="center"/>
              <w:textAlignment w:val="baseline"/>
              <w:rPr>
                <w:rFonts w:eastAsia="Times New Roman" w:cs="Arial"/>
                <w:lang w:val="uk-UA" w:eastAsia="uk-UA"/>
              </w:rPr>
            </w:pPr>
            <w:r>
              <w:rPr>
                <w:rFonts w:cs="Arial"/>
              </w:rPr>
              <w:t>25%</w:t>
            </w:r>
          </w:p>
        </w:tc>
        <w:tc>
          <w:tcPr>
            <w:tcW w:w="1571" w:type="dxa"/>
            <w:tcBorders>
              <w:top w:val="single" w:sz="6" w:space="0" w:color="auto"/>
              <w:left w:val="single" w:sz="6" w:space="0" w:color="auto"/>
              <w:bottom w:val="single" w:sz="6" w:space="0" w:color="auto"/>
              <w:right w:val="single" w:sz="6" w:space="0" w:color="auto"/>
            </w:tcBorders>
            <w:hideMark/>
          </w:tcPr>
          <w:p w14:paraId="5F5C2344" w14:textId="3DCDD5D9" w:rsidR="000255A8" w:rsidRPr="00D93EF8" w:rsidRDefault="000255A8" w:rsidP="000255A8">
            <w:pPr>
              <w:spacing w:after="0"/>
              <w:jc w:val="both"/>
              <w:textAlignment w:val="baseline"/>
              <w:rPr>
                <w:rFonts w:eastAsia="Times New Roman" w:cs="Arial"/>
                <w:lang w:val="uk-UA" w:eastAsia="uk-UA"/>
              </w:rPr>
            </w:pPr>
            <w:r w:rsidRPr="00D76FB2">
              <w:rPr>
                <w:rFonts w:eastAsia="Times New Roman" w:cs="Arial"/>
                <w:sz w:val="20"/>
                <w:szCs w:val="20"/>
                <w:lang w:eastAsia="uk-UA"/>
              </w:rPr>
              <w:t>Acc. to cl. 2.2</w:t>
            </w:r>
          </w:p>
        </w:tc>
      </w:tr>
      <w:tr w:rsidR="000255A8" w:rsidRPr="00625481" w14:paraId="1CC67794" w14:textId="77777777" w:rsidTr="00747DDC">
        <w:trPr>
          <w:trHeight w:val="225"/>
        </w:trPr>
        <w:tc>
          <w:tcPr>
            <w:tcW w:w="1920" w:type="dxa"/>
            <w:tcBorders>
              <w:top w:val="single" w:sz="6" w:space="0" w:color="auto"/>
              <w:left w:val="single" w:sz="6" w:space="0" w:color="auto"/>
              <w:bottom w:val="single" w:sz="6" w:space="0" w:color="auto"/>
              <w:right w:val="single" w:sz="6" w:space="0" w:color="auto"/>
            </w:tcBorders>
            <w:hideMark/>
          </w:tcPr>
          <w:p w14:paraId="40725153" w14:textId="77777777" w:rsidR="000255A8" w:rsidRPr="00D93EF8" w:rsidRDefault="000255A8" w:rsidP="000255A8">
            <w:pPr>
              <w:spacing w:after="0"/>
              <w:jc w:val="both"/>
              <w:textAlignment w:val="baseline"/>
              <w:rPr>
                <w:rFonts w:eastAsia="Times New Roman" w:cs="Arial"/>
                <w:lang w:val="uk-UA" w:eastAsia="uk-UA"/>
              </w:rPr>
            </w:pPr>
            <w:r w:rsidRPr="00D93EF8">
              <w:rPr>
                <w:rFonts w:eastAsia="Times New Roman" w:cs="Arial"/>
                <w:lang w:eastAsia="uk-UA"/>
              </w:rPr>
              <w:t>2 Interim payment</w:t>
            </w:r>
            <w:r w:rsidRPr="00D93EF8">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tcPr>
          <w:p w14:paraId="7CA6B03F" w14:textId="35D9D47E" w:rsidR="000255A8" w:rsidRPr="00D93EF8" w:rsidRDefault="000255A8" w:rsidP="000255A8">
            <w:pPr>
              <w:spacing w:after="0"/>
              <w:jc w:val="both"/>
              <w:textAlignment w:val="baseline"/>
              <w:rPr>
                <w:rFonts w:eastAsia="Times New Roman" w:cs="Arial"/>
                <w:lang w:val="uk-UA" w:eastAsia="uk-UA"/>
              </w:rPr>
            </w:pPr>
            <w:r>
              <w:t>20.02.2026</w:t>
            </w:r>
          </w:p>
        </w:tc>
        <w:tc>
          <w:tcPr>
            <w:tcW w:w="4394" w:type="dxa"/>
            <w:tcBorders>
              <w:top w:val="single" w:sz="6" w:space="0" w:color="auto"/>
              <w:left w:val="single" w:sz="4" w:space="0" w:color="auto"/>
              <w:bottom w:val="single" w:sz="6" w:space="0" w:color="auto"/>
              <w:right w:val="single" w:sz="6" w:space="0" w:color="auto"/>
            </w:tcBorders>
          </w:tcPr>
          <w:p w14:paraId="6CB96AC5" w14:textId="14FE1303" w:rsidR="000255A8" w:rsidRPr="00D93EF8" w:rsidRDefault="000255A8" w:rsidP="000255A8">
            <w:pPr>
              <w:spacing w:after="0"/>
              <w:jc w:val="center"/>
              <w:textAlignment w:val="baseline"/>
              <w:rPr>
                <w:rFonts w:eastAsia="Times New Roman" w:cs="Arial"/>
                <w:lang w:val="uk-UA" w:eastAsia="uk-UA"/>
              </w:rPr>
            </w:pPr>
            <w:r>
              <w:rPr>
                <w:rFonts w:cs="Arial"/>
              </w:rPr>
              <w:t>25%</w:t>
            </w:r>
          </w:p>
        </w:tc>
        <w:tc>
          <w:tcPr>
            <w:tcW w:w="1571" w:type="dxa"/>
            <w:tcBorders>
              <w:top w:val="single" w:sz="6" w:space="0" w:color="auto"/>
              <w:left w:val="single" w:sz="6" w:space="0" w:color="auto"/>
              <w:bottom w:val="single" w:sz="6" w:space="0" w:color="auto"/>
              <w:right w:val="single" w:sz="6" w:space="0" w:color="auto"/>
            </w:tcBorders>
            <w:hideMark/>
          </w:tcPr>
          <w:p w14:paraId="02948626" w14:textId="1EBAD7ED" w:rsidR="000255A8" w:rsidRPr="00D93EF8" w:rsidRDefault="000255A8" w:rsidP="000255A8">
            <w:pPr>
              <w:spacing w:after="0"/>
              <w:jc w:val="both"/>
              <w:textAlignment w:val="baseline"/>
              <w:rPr>
                <w:rFonts w:eastAsia="Times New Roman" w:cs="Arial"/>
                <w:lang w:val="uk-UA" w:eastAsia="uk-UA"/>
              </w:rPr>
            </w:pPr>
            <w:r w:rsidRPr="00D76FB2">
              <w:rPr>
                <w:rFonts w:eastAsia="Times New Roman" w:cs="Arial"/>
                <w:sz w:val="20"/>
                <w:szCs w:val="20"/>
                <w:lang w:eastAsia="uk-UA"/>
              </w:rPr>
              <w:t>Acc. to cl. 2.2</w:t>
            </w:r>
          </w:p>
        </w:tc>
      </w:tr>
      <w:tr w:rsidR="000255A8" w:rsidRPr="00625481" w14:paraId="41649603" w14:textId="77777777" w:rsidTr="00747DDC">
        <w:trPr>
          <w:trHeight w:val="225"/>
        </w:trPr>
        <w:tc>
          <w:tcPr>
            <w:tcW w:w="1920" w:type="dxa"/>
            <w:tcBorders>
              <w:top w:val="single" w:sz="6" w:space="0" w:color="auto"/>
              <w:left w:val="single" w:sz="6" w:space="0" w:color="auto"/>
              <w:bottom w:val="single" w:sz="6" w:space="0" w:color="auto"/>
              <w:right w:val="single" w:sz="6" w:space="0" w:color="auto"/>
            </w:tcBorders>
            <w:hideMark/>
          </w:tcPr>
          <w:p w14:paraId="04E63173" w14:textId="767B1808" w:rsidR="000255A8" w:rsidRPr="00D93EF8" w:rsidRDefault="000255A8" w:rsidP="000255A8">
            <w:pPr>
              <w:spacing w:after="0"/>
              <w:jc w:val="both"/>
              <w:textAlignment w:val="baseline"/>
              <w:rPr>
                <w:rFonts w:eastAsia="Times New Roman" w:cs="Arial"/>
                <w:lang w:val="uk-UA" w:eastAsia="uk-UA"/>
              </w:rPr>
            </w:pPr>
            <w:r>
              <w:rPr>
                <w:rFonts w:eastAsia="Times New Roman" w:cs="Arial"/>
                <w:lang w:eastAsia="uk-UA"/>
              </w:rPr>
              <w:t>3</w:t>
            </w:r>
            <w:r w:rsidRPr="00D93EF8">
              <w:rPr>
                <w:rFonts w:eastAsia="Times New Roman" w:cs="Arial"/>
                <w:lang w:eastAsia="uk-UA"/>
              </w:rPr>
              <w:t>Interim payment</w:t>
            </w:r>
            <w:r w:rsidRPr="00D93EF8">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tcPr>
          <w:p w14:paraId="0E03C399" w14:textId="71D4A1C6" w:rsidR="000255A8" w:rsidRPr="00D93EF8" w:rsidRDefault="000255A8" w:rsidP="000255A8">
            <w:pPr>
              <w:spacing w:after="0"/>
              <w:jc w:val="both"/>
              <w:textAlignment w:val="baseline"/>
              <w:rPr>
                <w:rFonts w:eastAsia="Times New Roman" w:cs="Arial"/>
                <w:lang w:val="uk-UA" w:eastAsia="uk-UA"/>
              </w:rPr>
            </w:pPr>
            <w:r>
              <w:t>14.04.2026</w:t>
            </w:r>
          </w:p>
        </w:tc>
        <w:tc>
          <w:tcPr>
            <w:tcW w:w="4394" w:type="dxa"/>
            <w:tcBorders>
              <w:top w:val="single" w:sz="6" w:space="0" w:color="auto"/>
              <w:left w:val="single" w:sz="4" w:space="0" w:color="auto"/>
              <w:bottom w:val="single" w:sz="6" w:space="0" w:color="auto"/>
              <w:right w:val="single" w:sz="6" w:space="0" w:color="auto"/>
            </w:tcBorders>
          </w:tcPr>
          <w:p w14:paraId="3B86F98F" w14:textId="1FAF5E3D" w:rsidR="000255A8" w:rsidRPr="00D93EF8" w:rsidRDefault="000255A8" w:rsidP="000255A8">
            <w:pPr>
              <w:spacing w:after="0"/>
              <w:jc w:val="center"/>
              <w:textAlignment w:val="baseline"/>
              <w:rPr>
                <w:rFonts w:eastAsia="Times New Roman" w:cs="Arial"/>
                <w:lang w:val="uk-UA" w:eastAsia="uk-UA"/>
              </w:rPr>
            </w:pPr>
            <w:r>
              <w:rPr>
                <w:rFonts w:cs="Arial"/>
              </w:rPr>
              <w:t>25%</w:t>
            </w:r>
          </w:p>
        </w:tc>
        <w:tc>
          <w:tcPr>
            <w:tcW w:w="1571" w:type="dxa"/>
            <w:tcBorders>
              <w:top w:val="single" w:sz="6" w:space="0" w:color="auto"/>
              <w:left w:val="single" w:sz="6" w:space="0" w:color="auto"/>
              <w:bottom w:val="single" w:sz="6" w:space="0" w:color="auto"/>
              <w:right w:val="single" w:sz="6" w:space="0" w:color="auto"/>
            </w:tcBorders>
            <w:hideMark/>
          </w:tcPr>
          <w:p w14:paraId="0932E233" w14:textId="1FFC2F08" w:rsidR="000255A8" w:rsidRPr="00D93EF8" w:rsidRDefault="000255A8" w:rsidP="000255A8">
            <w:pPr>
              <w:spacing w:after="0"/>
              <w:jc w:val="both"/>
              <w:textAlignment w:val="baseline"/>
              <w:rPr>
                <w:rFonts w:eastAsia="Times New Roman" w:cs="Arial"/>
                <w:lang w:val="uk-UA" w:eastAsia="uk-UA"/>
              </w:rPr>
            </w:pPr>
            <w:r w:rsidRPr="00D76FB2">
              <w:rPr>
                <w:rFonts w:eastAsia="Times New Roman" w:cs="Arial"/>
                <w:sz w:val="20"/>
                <w:szCs w:val="20"/>
                <w:lang w:eastAsia="uk-UA"/>
              </w:rPr>
              <w:t>Acc. to cl. 2.2</w:t>
            </w:r>
          </w:p>
        </w:tc>
      </w:tr>
      <w:tr w:rsidR="000255A8" w:rsidRPr="00625481" w14:paraId="4761A4E0" w14:textId="77777777" w:rsidTr="00747DDC">
        <w:trPr>
          <w:trHeight w:val="225"/>
        </w:trPr>
        <w:tc>
          <w:tcPr>
            <w:tcW w:w="1920" w:type="dxa"/>
            <w:tcBorders>
              <w:top w:val="single" w:sz="6" w:space="0" w:color="auto"/>
              <w:left w:val="single" w:sz="6" w:space="0" w:color="auto"/>
              <w:bottom w:val="single" w:sz="6" w:space="0" w:color="auto"/>
              <w:right w:val="single" w:sz="6" w:space="0" w:color="auto"/>
            </w:tcBorders>
            <w:hideMark/>
          </w:tcPr>
          <w:p w14:paraId="4ADBD81E" w14:textId="5A1B03A4" w:rsidR="000255A8" w:rsidRPr="00D93EF8" w:rsidRDefault="000255A8" w:rsidP="000255A8">
            <w:pPr>
              <w:spacing w:after="0"/>
              <w:jc w:val="both"/>
              <w:textAlignment w:val="baseline"/>
              <w:rPr>
                <w:rFonts w:eastAsia="Times New Roman" w:cs="Arial"/>
                <w:lang w:val="uk-UA" w:eastAsia="uk-UA"/>
              </w:rPr>
            </w:pPr>
            <w:r>
              <w:rPr>
                <w:rFonts w:eastAsia="Times New Roman" w:cs="Arial"/>
                <w:lang w:eastAsia="uk-UA"/>
              </w:rPr>
              <w:t>4</w:t>
            </w:r>
            <w:r w:rsidRPr="00D93EF8">
              <w:rPr>
                <w:rFonts w:eastAsia="Times New Roman" w:cs="Arial"/>
                <w:lang w:eastAsia="uk-UA"/>
              </w:rPr>
              <w:t xml:space="preserve"> Final payment</w:t>
            </w:r>
            <w:r w:rsidRPr="00D93EF8">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tcPr>
          <w:p w14:paraId="6EFEC75E" w14:textId="47126FD9" w:rsidR="000255A8" w:rsidRPr="00D93EF8" w:rsidRDefault="000255A8" w:rsidP="000255A8">
            <w:pPr>
              <w:spacing w:after="0"/>
              <w:jc w:val="both"/>
              <w:textAlignment w:val="baseline"/>
              <w:rPr>
                <w:rFonts w:eastAsia="Times New Roman" w:cs="Arial"/>
                <w:lang w:val="uk-UA" w:eastAsia="uk-UA"/>
              </w:rPr>
            </w:pPr>
            <w:r w:rsidRPr="00B92EB6">
              <w:t>30.11.2026</w:t>
            </w:r>
          </w:p>
        </w:tc>
        <w:tc>
          <w:tcPr>
            <w:tcW w:w="4394" w:type="dxa"/>
            <w:tcBorders>
              <w:top w:val="single" w:sz="6" w:space="0" w:color="auto"/>
              <w:left w:val="single" w:sz="4" w:space="0" w:color="auto"/>
              <w:bottom w:val="single" w:sz="6" w:space="0" w:color="auto"/>
              <w:right w:val="single" w:sz="6" w:space="0" w:color="auto"/>
            </w:tcBorders>
          </w:tcPr>
          <w:p w14:paraId="64646866" w14:textId="2B8DE275" w:rsidR="000255A8" w:rsidRPr="00D93EF8" w:rsidRDefault="000255A8" w:rsidP="000255A8">
            <w:pPr>
              <w:spacing w:after="0"/>
              <w:jc w:val="center"/>
              <w:textAlignment w:val="baseline"/>
              <w:rPr>
                <w:rFonts w:eastAsia="Times New Roman" w:cs="Arial"/>
                <w:lang w:val="uk-UA" w:eastAsia="uk-UA"/>
              </w:rPr>
            </w:pPr>
            <w:r>
              <w:rPr>
                <w:rFonts w:cs="Arial"/>
              </w:rPr>
              <w:t>25%</w:t>
            </w:r>
          </w:p>
        </w:tc>
        <w:tc>
          <w:tcPr>
            <w:tcW w:w="1571" w:type="dxa"/>
            <w:tcBorders>
              <w:top w:val="single" w:sz="6" w:space="0" w:color="auto"/>
              <w:left w:val="single" w:sz="6" w:space="0" w:color="auto"/>
              <w:bottom w:val="single" w:sz="6" w:space="0" w:color="auto"/>
              <w:right w:val="single" w:sz="6" w:space="0" w:color="auto"/>
            </w:tcBorders>
            <w:hideMark/>
          </w:tcPr>
          <w:p w14:paraId="31A34603" w14:textId="5DF14B66" w:rsidR="000255A8" w:rsidRPr="00D93EF8" w:rsidRDefault="000255A8" w:rsidP="000255A8">
            <w:pPr>
              <w:spacing w:after="0"/>
              <w:jc w:val="both"/>
              <w:textAlignment w:val="baseline"/>
              <w:rPr>
                <w:rFonts w:eastAsia="Times New Roman" w:cs="Arial"/>
                <w:lang w:val="uk-UA" w:eastAsia="uk-UA"/>
              </w:rPr>
            </w:pPr>
            <w:r w:rsidRPr="00D76FB2">
              <w:rPr>
                <w:rFonts w:eastAsia="Times New Roman" w:cs="Arial"/>
                <w:sz w:val="20"/>
                <w:szCs w:val="20"/>
                <w:lang w:eastAsia="uk-UA"/>
              </w:rPr>
              <w:t>Acc. to cl. 2.2</w:t>
            </w:r>
          </w:p>
        </w:tc>
      </w:tr>
    </w:tbl>
    <w:p w14:paraId="1A785A8E" w14:textId="77777777" w:rsidR="00DD731A" w:rsidRPr="00F302E2" w:rsidRDefault="00DD731A" w:rsidP="00127D3B">
      <w:pPr>
        <w:tabs>
          <w:tab w:val="left" w:pos="3261"/>
        </w:tabs>
        <w:spacing w:line="240" w:lineRule="exact"/>
        <w:contextualSpacing/>
        <w:jc w:val="both"/>
        <w:rPr>
          <w:rFonts w:eastAsia="Times New Roman" w:cs="Arial"/>
          <w:lang w:val="uk-UA" w:eastAsia="uk-UA"/>
        </w:rPr>
      </w:pPr>
    </w:p>
    <w:p w14:paraId="5EC187E6" w14:textId="16E4A394" w:rsidR="00DD731A" w:rsidRPr="004E7A98" w:rsidRDefault="00DD731A" w:rsidP="00696913">
      <w:pPr>
        <w:pStyle w:val="ListParagraph"/>
        <w:numPr>
          <w:ilvl w:val="1"/>
          <w:numId w:val="5"/>
        </w:numPr>
        <w:tabs>
          <w:tab w:val="left" w:pos="567"/>
        </w:tabs>
        <w:ind w:left="0" w:firstLine="0"/>
        <w:jc w:val="both"/>
        <w:rPr>
          <w:rFonts w:eastAsia="Arial"/>
          <w:b/>
          <w:color w:val="000000" w:themeColor="text1"/>
          <w:lang w:eastAsia="uk-UA"/>
        </w:rPr>
      </w:pPr>
      <w:bookmarkStart w:id="56" w:name="_Toc127948120"/>
      <w:bookmarkStart w:id="57" w:name="_Hlk119434478"/>
      <w:r w:rsidRPr="004E7A98">
        <w:rPr>
          <w:rFonts w:eastAsia="Arial"/>
          <w:b/>
          <w:color w:val="000000" w:themeColor="text1"/>
          <w:lang w:eastAsia="uk-UA"/>
        </w:rPr>
        <w:t>Financial proposal</w:t>
      </w:r>
      <w:bookmarkEnd w:id="56"/>
    </w:p>
    <w:p w14:paraId="3588CD58" w14:textId="294C510C" w:rsidR="009D4770" w:rsidRPr="000E6FEB" w:rsidRDefault="00DD731A" w:rsidP="00127D3B">
      <w:pPr>
        <w:spacing w:line="240" w:lineRule="exact"/>
        <w:contextualSpacing/>
        <w:jc w:val="both"/>
        <w:rPr>
          <w:rStyle w:val="ZulschenderTextZchn"/>
          <w:i w:val="0"/>
          <w:iCs/>
          <w:color w:val="auto"/>
          <w:lang w:val="uk-UA"/>
        </w:rPr>
      </w:pPr>
      <w:bookmarkStart w:id="58" w:name="_Toc182888130"/>
      <w:bookmarkStart w:id="59" w:name="_Toc1529432687"/>
      <w:bookmarkStart w:id="60" w:name="_Toc938639465"/>
      <w:bookmarkStart w:id="61" w:name="_Toc29254191"/>
      <w:bookmarkStart w:id="62" w:name="_Toc129786255"/>
      <w:bookmarkStart w:id="63" w:name="_Toc886072847"/>
      <w:bookmarkStart w:id="64" w:name="_Toc1235055489"/>
      <w:bookmarkStart w:id="65" w:name="_Toc992671185"/>
      <w:bookmarkStart w:id="66" w:name="_Toc557158001"/>
      <w:bookmarkStart w:id="67" w:name="_Toc341232982"/>
      <w:bookmarkStart w:id="68" w:name="_Toc1397490027"/>
      <w:bookmarkStart w:id="69" w:name="_Toc1109058053"/>
      <w:bookmarkStart w:id="70" w:name="_Toc641761882"/>
      <w:bookmarkStart w:id="71" w:name="_Toc351300643"/>
      <w:bookmarkStart w:id="72" w:name="_Toc875232065"/>
      <w:bookmarkStart w:id="73" w:name="_Toc1810293648"/>
      <w:bookmarkStart w:id="74" w:name="_Toc2080891136"/>
      <w:bookmarkStart w:id="75" w:name="_Toc1272128919"/>
      <w:bookmarkStart w:id="76" w:name="_Toc1485860475"/>
      <w:bookmarkStart w:id="77" w:name="_Toc1284064032"/>
      <w:bookmarkStart w:id="78" w:name="_Toc1135483894"/>
      <w:bookmarkStart w:id="79" w:name="_Toc1047006116"/>
      <w:bookmarkStart w:id="80" w:name="_Toc1343375975"/>
      <w:bookmarkStart w:id="81" w:name="_Toc735131737"/>
      <w:bookmarkStart w:id="82" w:name="_Toc1445319159"/>
      <w:bookmarkStart w:id="83" w:name="_Toc477079764"/>
      <w:bookmarkStart w:id="84" w:name="_Toc77219847"/>
      <w:bookmarkStart w:id="85" w:name="_Toc282957434"/>
      <w:bookmarkStart w:id="86" w:name="_Toc1918068170"/>
      <w:bookmarkStart w:id="87" w:name="_Toc2013886944"/>
      <w:r w:rsidRPr="00127D3B">
        <w:rPr>
          <w:rFonts w:eastAsia="Times New Roman" w:cs="Arial"/>
          <w:lang w:eastAsia="uk-UA"/>
        </w:rPr>
        <w:t xml:space="preserve">The total cost of the </w:t>
      </w:r>
      <w:r w:rsidR="00B911A0" w:rsidRPr="00127D3B">
        <w:rPr>
          <w:rFonts w:eastAsia="Times New Roman" w:cs="Arial"/>
          <w:lang w:eastAsia="uk-UA"/>
        </w:rPr>
        <w:t>Contract is</w:t>
      </w:r>
      <w:r w:rsidRPr="00127D3B">
        <w:rPr>
          <w:rFonts w:eastAsia="Times New Roman" w:cs="Arial"/>
          <w:lang w:eastAsia="uk-UA"/>
        </w:rPr>
        <w:t xml:space="preserve"> </w:t>
      </w:r>
      <w:r w:rsidRPr="000E6FEB">
        <w:rPr>
          <w:rFonts w:eastAsia="Times New Roman" w:cs="Arial"/>
          <w:lang w:eastAsia="uk-UA"/>
        </w:rPr>
        <w:t xml:space="preserve">set in UAH, including all direct and related expenses, taxes and fees, </w:t>
      </w:r>
      <w:r w:rsidR="00415004" w:rsidRPr="000E6FEB">
        <w:rPr>
          <w:rStyle w:val="ZulschenderTextZchn"/>
          <w:i w:val="0"/>
          <w:iCs/>
          <w:color w:val="auto"/>
        </w:rPr>
        <w:t>incl. VAT</w:t>
      </w:r>
      <w:r w:rsidR="007C45C6" w:rsidRPr="000E6FEB">
        <w:rPr>
          <w:rStyle w:val="ZulschenderTextZchn"/>
          <w:i w:val="0"/>
          <w:iCs/>
          <w:color w:val="auto"/>
        </w:rPr>
        <w:t xml:space="preserve"> if applicable</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002052E7" w:rsidRPr="000E6FEB">
        <w:rPr>
          <w:rStyle w:val="ZulschenderTextZchn"/>
          <w:i w:val="0"/>
          <w:iCs/>
          <w:color w:val="auto"/>
        </w:rPr>
        <w:t>.</w:t>
      </w:r>
      <w:r w:rsidR="002052E7" w:rsidRPr="000E6FEB">
        <w:rPr>
          <w:rFonts w:eastAsia="Times New Roman" w:cs="Arial"/>
          <w:i/>
          <w:iCs/>
          <w:lang w:eastAsia="uk-UA"/>
        </w:rPr>
        <w:t xml:space="preserve"> </w:t>
      </w:r>
    </w:p>
    <w:p w14:paraId="4F74AC9D" w14:textId="77777777" w:rsidR="009D4770" w:rsidRPr="000E6FEB" w:rsidRDefault="009D4770" w:rsidP="00127D3B">
      <w:pPr>
        <w:spacing w:line="240" w:lineRule="exact"/>
        <w:contextualSpacing/>
        <w:jc w:val="both"/>
        <w:rPr>
          <w:rFonts w:eastAsia="Times New Roman" w:cs="Arial"/>
          <w:lang w:eastAsia="uk-UA"/>
        </w:rPr>
      </w:pPr>
    </w:p>
    <w:p w14:paraId="1A1F313D" w14:textId="77777777" w:rsidR="00DD731A" w:rsidRPr="000E6FEB" w:rsidRDefault="00DD731A" w:rsidP="00127D3B">
      <w:pPr>
        <w:tabs>
          <w:tab w:val="left" w:pos="3261"/>
        </w:tabs>
        <w:spacing w:line="240" w:lineRule="exact"/>
        <w:contextualSpacing/>
        <w:jc w:val="both"/>
        <w:rPr>
          <w:rFonts w:eastAsia="Times New Roman" w:cs="Arial"/>
          <w:lang w:eastAsia="uk-UA"/>
        </w:rPr>
      </w:pPr>
      <w:r w:rsidRPr="000E6FEB">
        <w:rPr>
          <w:rFonts w:eastAsia="Times New Roman" w:cs="Arial"/>
          <w:lang w:eastAsia="uk-UA"/>
        </w:rPr>
        <w:t>All costs connected to the contract implementation, e.g. connected management staff, should be covered according to the received amount of the total value of the Contract. No additional budget lines are allowed.</w:t>
      </w:r>
    </w:p>
    <w:p w14:paraId="49274D32" w14:textId="77777777" w:rsidR="00DD731A" w:rsidRPr="000E6FEB" w:rsidRDefault="00DD731A" w:rsidP="00127D3B">
      <w:pPr>
        <w:tabs>
          <w:tab w:val="left" w:pos="3261"/>
        </w:tabs>
        <w:spacing w:line="240" w:lineRule="exact"/>
        <w:contextualSpacing/>
        <w:jc w:val="both"/>
        <w:rPr>
          <w:rFonts w:eastAsia="Times New Roman" w:cs="Arial"/>
          <w:lang w:eastAsia="uk-UA"/>
        </w:rPr>
      </w:pPr>
    </w:p>
    <w:bookmarkEnd w:id="57"/>
    <w:p w14:paraId="6B6DB464" w14:textId="3AAF7894" w:rsidR="00DD731A" w:rsidRPr="000E6FEB" w:rsidRDefault="00DD731A" w:rsidP="00696913">
      <w:pPr>
        <w:pStyle w:val="ListParagraph"/>
        <w:numPr>
          <w:ilvl w:val="1"/>
          <w:numId w:val="5"/>
        </w:numPr>
        <w:tabs>
          <w:tab w:val="left" w:pos="567"/>
          <w:tab w:val="left" w:pos="3261"/>
        </w:tabs>
        <w:spacing w:line="240" w:lineRule="exact"/>
        <w:ind w:left="0" w:firstLine="0"/>
        <w:jc w:val="both"/>
        <w:rPr>
          <w:rFonts w:cs="Arial"/>
          <w:b/>
          <w:bCs/>
          <w:lang w:val="uk-UA"/>
        </w:rPr>
      </w:pPr>
      <w:r w:rsidRPr="000E6FEB">
        <w:rPr>
          <w:rFonts w:cs="Arial"/>
          <w:b/>
          <w:bCs/>
        </w:rPr>
        <w:t>Payment Conditions</w:t>
      </w:r>
    </w:p>
    <w:p w14:paraId="6AAE560A" w14:textId="2C7383B1" w:rsidR="00DD731A" w:rsidRPr="000E6FEB" w:rsidRDefault="00DD731A" w:rsidP="00696913">
      <w:pPr>
        <w:numPr>
          <w:ilvl w:val="0"/>
          <w:numId w:val="2"/>
        </w:numPr>
        <w:spacing w:line="240" w:lineRule="exact"/>
        <w:ind w:left="567" w:hanging="567"/>
        <w:contextualSpacing/>
        <w:jc w:val="both"/>
        <w:rPr>
          <w:rFonts w:cs="Arial"/>
        </w:rPr>
      </w:pPr>
      <w:r w:rsidRPr="000E6FEB">
        <w:rPr>
          <w:rFonts w:cs="Arial"/>
        </w:rPr>
        <w:t>The Contractor shall be paid 100% post payment upon performance in the agreed instalments;</w:t>
      </w:r>
    </w:p>
    <w:p w14:paraId="3D27A542" w14:textId="77777777" w:rsidR="00DD731A" w:rsidRPr="000E6FEB" w:rsidRDefault="00DD731A" w:rsidP="00696913">
      <w:pPr>
        <w:numPr>
          <w:ilvl w:val="0"/>
          <w:numId w:val="2"/>
        </w:numPr>
        <w:spacing w:line="240" w:lineRule="exact"/>
        <w:ind w:left="567" w:hanging="567"/>
        <w:contextualSpacing/>
        <w:jc w:val="both"/>
        <w:rPr>
          <w:rFonts w:cs="Arial"/>
        </w:rPr>
      </w:pPr>
      <w:r w:rsidRPr="000E6FEB">
        <w:rPr>
          <w:rFonts w:cs="Arial"/>
        </w:rPr>
        <w:t>All the payments shall be done exclusively in the national currency of Ukraine (UAH) by means of a bank transfer to the bank account of the Contractor;</w:t>
      </w:r>
    </w:p>
    <w:p w14:paraId="59DE5E45" w14:textId="24EF7298" w:rsidR="00DD731A" w:rsidRPr="000E6FEB" w:rsidRDefault="00DD731A" w:rsidP="00696913">
      <w:pPr>
        <w:numPr>
          <w:ilvl w:val="0"/>
          <w:numId w:val="2"/>
        </w:numPr>
        <w:spacing w:line="240" w:lineRule="exact"/>
        <w:ind w:left="567" w:hanging="567"/>
        <w:contextualSpacing/>
        <w:jc w:val="both"/>
        <w:rPr>
          <w:rFonts w:cs="Arial"/>
        </w:rPr>
      </w:pPr>
      <w:r w:rsidRPr="000E6FEB">
        <w:rPr>
          <w:rFonts w:cs="Arial"/>
        </w:rPr>
        <w:t xml:space="preserve">All the activities shall be done exclusively within the timeframe of the Contract; </w:t>
      </w:r>
    </w:p>
    <w:p w14:paraId="44FE22CF" w14:textId="14F57477" w:rsidR="00DD731A" w:rsidRPr="000E6FEB" w:rsidRDefault="00DD731A" w:rsidP="00696913">
      <w:pPr>
        <w:numPr>
          <w:ilvl w:val="0"/>
          <w:numId w:val="2"/>
        </w:numPr>
        <w:spacing w:line="240" w:lineRule="exact"/>
        <w:ind w:left="567" w:hanging="567"/>
        <w:contextualSpacing/>
        <w:jc w:val="both"/>
        <w:rPr>
          <w:rFonts w:cs="Arial"/>
          <w:lang w:val="uk-UA"/>
        </w:rPr>
      </w:pPr>
      <w:r w:rsidRPr="000E6FEB">
        <w:rPr>
          <w:rFonts w:cs="Arial"/>
        </w:rPr>
        <w:t xml:space="preserve">All the payments shall be done </w:t>
      </w:r>
      <w:r w:rsidR="00525C7E" w:rsidRPr="000E6FEB">
        <w:rPr>
          <w:rFonts w:cs="Arial"/>
        </w:rPr>
        <w:t xml:space="preserve">exclusively for the actually performed works/services (“up to”), </w:t>
      </w:r>
      <w:r w:rsidRPr="000E6FEB">
        <w:rPr>
          <w:rFonts w:cs="Arial"/>
        </w:rPr>
        <w:t xml:space="preserve">on the ground of </w:t>
      </w:r>
      <w:r w:rsidR="00212D2E" w:rsidRPr="000E6FEB">
        <w:rPr>
          <w:rFonts w:cs="Arial"/>
        </w:rPr>
        <w:t xml:space="preserve">original </w:t>
      </w:r>
      <w:r w:rsidRPr="000E6FEB">
        <w:rPr>
          <w:rFonts w:cs="Arial"/>
        </w:rPr>
        <w:t>invoices</w:t>
      </w:r>
      <w:r w:rsidR="00525C7E" w:rsidRPr="000E6FEB">
        <w:rPr>
          <w:rFonts w:cs="Arial"/>
        </w:rPr>
        <w:t>,</w:t>
      </w:r>
      <w:r w:rsidRPr="000E6FEB">
        <w:rPr>
          <w:rFonts w:cs="Arial"/>
        </w:rPr>
        <w:t xml:space="preserve"> acts of acceptance</w:t>
      </w:r>
      <w:r w:rsidR="00525C7E" w:rsidRPr="000E6FEB">
        <w:rPr>
          <w:rFonts w:cs="Arial"/>
        </w:rPr>
        <w:t xml:space="preserve"> and timesheets,</w:t>
      </w:r>
      <w:r w:rsidRPr="000E6FEB">
        <w:rPr>
          <w:rFonts w:cs="Arial"/>
        </w:rPr>
        <w:t xml:space="preserve"> submitted in </w:t>
      </w:r>
      <w:r w:rsidR="001274F7" w:rsidRPr="000E6FEB">
        <w:rPr>
          <w:rFonts w:cs="Arial"/>
          <w:lang w:val="en-US"/>
        </w:rPr>
        <w:t>original</w:t>
      </w:r>
      <w:r w:rsidRPr="000E6FEB">
        <w:rPr>
          <w:rFonts w:cs="Arial"/>
        </w:rPr>
        <w:t xml:space="preserve"> form within </w:t>
      </w:r>
      <w:r w:rsidR="00612319" w:rsidRPr="000E6FEB">
        <w:rPr>
          <w:rFonts w:cs="Arial"/>
        </w:rPr>
        <w:t>1</w:t>
      </w:r>
      <w:r w:rsidR="001274F7" w:rsidRPr="000E6FEB">
        <w:rPr>
          <w:rFonts w:cs="Arial"/>
          <w:lang w:val="uk-UA"/>
        </w:rPr>
        <w:t>5</w:t>
      </w:r>
      <w:r w:rsidR="00C0347D" w:rsidRPr="000E6FEB">
        <w:rPr>
          <w:rFonts w:cs="Arial"/>
        </w:rPr>
        <w:t xml:space="preserve"> </w:t>
      </w:r>
      <w:r w:rsidRPr="000E6FEB">
        <w:rPr>
          <w:rFonts w:cs="Arial"/>
        </w:rPr>
        <w:t>working days after</w:t>
      </w:r>
      <w:r w:rsidR="00EA1665" w:rsidRPr="000E6FEB">
        <w:rPr>
          <w:rFonts w:cs="Arial"/>
        </w:rPr>
        <w:t xml:space="preserve"> their submission by the Contractor and acceptance by GIZ.</w:t>
      </w:r>
      <w:r w:rsidR="0049279D" w:rsidRPr="000E6FEB">
        <w:rPr>
          <w:rFonts w:cs="Arial"/>
        </w:rPr>
        <w:t xml:space="preserve"> The invoice is considered not accepted for payment in case of errors and/or provision of an incomplete package of documents for payment</w:t>
      </w:r>
    </w:p>
    <w:p w14:paraId="648A3F7B" w14:textId="61D0EAE8" w:rsidR="00DD731A" w:rsidRPr="000E6FEB" w:rsidRDefault="00DD731A" w:rsidP="00696913">
      <w:pPr>
        <w:pStyle w:val="ListParagraph"/>
        <w:numPr>
          <w:ilvl w:val="1"/>
          <w:numId w:val="5"/>
        </w:numPr>
        <w:tabs>
          <w:tab w:val="left" w:pos="284"/>
        </w:tabs>
        <w:spacing w:line="240" w:lineRule="exact"/>
        <w:ind w:left="0" w:firstLine="0"/>
        <w:jc w:val="both"/>
        <w:rPr>
          <w:rFonts w:cs="Arial"/>
        </w:rPr>
      </w:pPr>
      <w:r w:rsidRPr="000E6FEB">
        <w:rPr>
          <w:rFonts w:cs="Arial"/>
          <w:b/>
          <w:bCs/>
        </w:rPr>
        <w:t>Requirements to the submission of the financial reporting documents</w:t>
      </w:r>
    </w:p>
    <w:p w14:paraId="3F468846" w14:textId="761D2752" w:rsidR="00791D7C" w:rsidRPr="002714F4" w:rsidRDefault="00E15451" w:rsidP="00757BB9">
      <w:pPr>
        <w:numPr>
          <w:ilvl w:val="0"/>
          <w:numId w:val="3"/>
        </w:numPr>
        <w:spacing w:after="0"/>
        <w:ind w:left="567" w:hanging="567"/>
        <w:contextualSpacing/>
        <w:jc w:val="both"/>
        <w:rPr>
          <w:rFonts w:cs="Arial"/>
          <w:lang w:val="uk-UA"/>
        </w:rPr>
      </w:pPr>
      <w:r w:rsidRPr="002714F4">
        <w:rPr>
          <w:rFonts w:cs="Arial"/>
          <w:lang w:val="en-US"/>
        </w:rPr>
        <w:t xml:space="preserve">Originals of Invoices, acts of acceptance and timesheets, etc. shall be submitted to the address of the GIZ Project together with the technical documents (reporting/ deliverables) and other financial supporting documents as and if stipulated by the Contract. </w:t>
      </w:r>
      <w:r w:rsidR="001A1A2A" w:rsidRPr="002714F4">
        <w:rPr>
          <w:rFonts w:cs="Arial"/>
        </w:rPr>
        <w:t>-</w:t>
      </w:r>
      <w:r w:rsidR="001A1A2A" w:rsidRPr="001A1A2A">
        <w:t xml:space="preserve"> </w:t>
      </w:r>
      <w:r w:rsidR="001A1A2A" w:rsidRPr="002714F4">
        <w:rPr>
          <w:rFonts w:cs="Arial"/>
        </w:rPr>
        <w:t>Each invoice and act of acceptance shall contain the Project Number</w:t>
      </w:r>
      <w:r w:rsidR="009D0E6A" w:rsidRPr="002714F4">
        <w:rPr>
          <w:rFonts w:cs="Arial"/>
          <w:lang w:val="uk-UA"/>
        </w:rPr>
        <w:t xml:space="preserve">, </w:t>
      </w:r>
      <w:r w:rsidR="009D0E6A" w:rsidRPr="002714F4">
        <w:rPr>
          <w:rFonts w:cs="Arial"/>
          <w:lang w:val="en-US"/>
        </w:rPr>
        <w:t>contract number</w:t>
      </w:r>
      <w:bookmarkStart w:id="88" w:name="_Hlk125549895"/>
    </w:p>
    <w:p w14:paraId="02C84655" w14:textId="2DDC062C" w:rsidR="00DD731A" w:rsidRPr="00127D3B" w:rsidRDefault="00DD731A" w:rsidP="00696913">
      <w:pPr>
        <w:numPr>
          <w:ilvl w:val="0"/>
          <w:numId w:val="3"/>
        </w:numPr>
        <w:ind w:left="567" w:hanging="567"/>
        <w:contextualSpacing/>
        <w:jc w:val="both"/>
        <w:rPr>
          <w:rFonts w:cs="Arial"/>
        </w:rPr>
      </w:pPr>
      <w:r w:rsidRPr="00127D3B">
        <w:rPr>
          <w:rFonts w:cs="Arial"/>
        </w:rPr>
        <w:t>By</w:t>
      </w:r>
      <w:r w:rsidR="009B4C1E" w:rsidRPr="00127D3B">
        <w:rPr>
          <w:rFonts w:cs="Arial"/>
        </w:rPr>
        <w:t xml:space="preserve"> submitting the Invoice </w:t>
      </w:r>
      <w:r w:rsidRPr="00127D3B">
        <w:rPr>
          <w:rFonts w:cs="Arial"/>
        </w:rPr>
        <w:t>the Contractor should indicate (in the invoice) whether the Contractor is a Single Tax Payer (e.g. 5%, 2%) or a VAT Payer (20%);</w:t>
      </w:r>
    </w:p>
    <w:p w14:paraId="3875B315" w14:textId="5AED91AB" w:rsidR="00075210" w:rsidRPr="00012BDC" w:rsidRDefault="00A4486B" w:rsidP="00012BDC">
      <w:pPr>
        <w:contextualSpacing/>
        <w:jc w:val="both"/>
        <w:rPr>
          <w:rFonts w:cs="Arial"/>
        </w:rPr>
      </w:pPr>
      <w:r w:rsidRPr="00127D3B">
        <w:rPr>
          <w:rFonts w:cs="Arial"/>
        </w:rPr>
        <w:lastRenderedPageBreak/>
        <w:t xml:space="preserve">Timesheet standard template can be found here </w:t>
      </w:r>
      <w:bookmarkEnd w:id="88"/>
      <w:r w:rsidR="00891AB3" w:rsidRPr="00891AB3">
        <w:rPr>
          <w:rFonts w:cs="Arial"/>
        </w:rPr>
        <w:fldChar w:fldCharType="begin"/>
      </w:r>
      <w:r w:rsidR="00891AB3" w:rsidRPr="00891AB3">
        <w:rPr>
          <w:rFonts w:cs="Arial"/>
        </w:rPr>
        <w:instrText>HYPERLINK "https://www.giz.de/sites/default/files/media/els-document/2025-09/time-record-template-days-and-hourly.xls"</w:instrText>
      </w:r>
      <w:r w:rsidR="00891AB3" w:rsidRPr="00891AB3">
        <w:rPr>
          <w:rFonts w:cs="Arial"/>
        </w:rPr>
      </w:r>
      <w:r w:rsidR="00891AB3" w:rsidRPr="00891AB3">
        <w:rPr>
          <w:rFonts w:cs="Arial"/>
        </w:rPr>
        <w:fldChar w:fldCharType="separate"/>
      </w:r>
      <w:r w:rsidR="00891AB3" w:rsidRPr="00891AB3">
        <w:rPr>
          <w:rStyle w:val="Hyperlink"/>
          <w:rFonts w:cs="Arial"/>
          <w:lang w:val="uk-UA"/>
        </w:rPr>
        <w:t>https://www.giz.de/sites/default/files/media/els-document/2025-09/time-record-template-days-and-hourly.xls</w:t>
      </w:r>
      <w:r w:rsidR="00891AB3" w:rsidRPr="00891AB3">
        <w:rPr>
          <w:rFonts w:cs="Arial"/>
        </w:rPr>
        <w:fldChar w:fldCharType="end"/>
      </w:r>
    </w:p>
    <w:p w14:paraId="4F2E55B1" w14:textId="77777777" w:rsidR="00E477FA" w:rsidRPr="00D93EF8" w:rsidRDefault="00E477FA" w:rsidP="00696913">
      <w:pPr>
        <w:pStyle w:val="ListParagraph"/>
        <w:numPr>
          <w:ilvl w:val="0"/>
          <w:numId w:val="5"/>
        </w:numPr>
        <w:spacing w:line="240" w:lineRule="exact"/>
        <w:ind w:left="0" w:firstLine="0"/>
        <w:jc w:val="both"/>
        <w:rPr>
          <w:b/>
          <w:bCs/>
        </w:rPr>
      </w:pPr>
      <w:bookmarkStart w:id="89" w:name="_Hlk114232522"/>
      <w:r w:rsidRPr="00D93EF8">
        <w:rPr>
          <w:b/>
          <w:bCs/>
        </w:rPr>
        <w:t>Other Provisions</w:t>
      </w:r>
    </w:p>
    <w:p w14:paraId="7B6C1C40" w14:textId="36FD847D" w:rsidR="00F815E4" w:rsidRPr="005D26F7" w:rsidRDefault="00070B04" w:rsidP="00696913">
      <w:pPr>
        <w:pStyle w:val="ListParagraph"/>
        <w:numPr>
          <w:ilvl w:val="1"/>
          <w:numId w:val="5"/>
        </w:numPr>
        <w:spacing w:line="240" w:lineRule="exact"/>
        <w:jc w:val="both"/>
        <w:rPr>
          <w:rFonts w:cs="Arial"/>
          <w:b/>
          <w:bCs/>
          <w:lang w:eastAsia="uk-UA"/>
        </w:rPr>
      </w:pPr>
      <w:r w:rsidRPr="00D93EF8">
        <w:rPr>
          <w:b/>
        </w:rPr>
        <w:t xml:space="preserve"> General</w:t>
      </w:r>
    </w:p>
    <w:p w14:paraId="787A0F11" w14:textId="77777777" w:rsidR="00F815E4" w:rsidRPr="00F815E4" w:rsidRDefault="00F815E4" w:rsidP="005D26F7">
      <w:pPr>
        <w:spacing w:line="240" w:lineRule="exact"/>
        <w:jc w:val="both"/>
        <w:textAlignment w:val="baseline"/>
        <w:rPr>
          <w:rFonts w:cs="Arial"/>
          <w:lang w:eastAsia="uk-UA"/>
        </w:rPr>
      </w:pPr>
      <w:r w:rsidRPr="004A4396">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1BC1D3C1" w14:textId="0247AD0C" w:rsidR="00E477FA" w:rsidRDefault="00E477FA" w:rsidP="00127D3B">
      <w:pPr>
        <w:jc w:val="both"/>
        <w:rPr>
          <w:lang w:val="en-US"/>
        </w:rPr>
      </w:pPr>
      <w:r w:rsidRPr="0051151D">
        <w:rPr>
          <w:lang w:val="en-US"/>
        </w:rPr>
        <w:t xml:space="preserve">The implementation of activities under present Contract can be started only after the Contact enters in force. </w:t>
      </w:r>
    </w:p>
    <w:p w14:paraId="303F4A7F" w14:textId="66A867C2" w:rsidR="006C5EAD" w:rsidRDefault="006C5EAD" w:rsidP="00127D3B">
      <w:pPr>
        <w:jc w:val="both"/>
      </w:pPr>
      <w:r w:rsidRPr="00D43FAE">
        <w:rPr>
          <w:rFonts w:cs="Arial"/>
        </w:rPr>
        <w:t>With signing of this contract, the parties are fully aware of the respective GIZ provisions, namely General terms and conditions of contract for supplying services and work on behalf of the Deutsche Gesellschaft fur Internationale Zusammenarbeit GmbH in Ukraine</w:t>
      </w:r>
      <w:r w:rsidR="00987ED9">
        <w:rPr>
          <w:rFonts w:cs="Arial"/>
        </w:rPr>
        <w:t xml:space="preserve">, </w:t>
      </w:r>
      <w:r w:rsidR="00987ED9" w:rsidRPr="00B3356F">
        <w:rPr>
          <w:rFonts w:cs="Arial"/>
        </w:rPr>
        <w:t>Code of Conduct for Contractors</w:t>
      </w:r>
      <w:r w:rsidR="00987ED9">
        <w:rPr>
          <w:rFonts w:cs="Arial"/>
        </w:rPr>
        <w:t xml:space="preserve"> </w:t>
      </w:r>
      <w:r w:rsidR="00987ED9" w:rsidRPr="00B3356F">
        <w:rPr>
          <w:rFonts w:cs="Arial"/>
        </w:rPr>
        <w:t>of the Deutsche Gesellschaft für</w:t>
      </w:r>
      <w:r w:rsidR="00987ED9">
        <w:rPr>
          <w:rFonts w:cs="Arial"/>
        </w:rPr>
        <w:t xml:space="preserve"> </w:t>
      </w:r>
      <w:r w:rsidR="00987ED9" w:rsidRPr="00B3356F">
        <w:rPr>
          <w:rFonts w:cs="Arial"/>
        </w:rPr>
        <w:t>Internationale Zusammenarbeit (GIZ) GmbH</w:t>
      </w:r>
      <w:r w:rsidRPr="00D43FAE">
        <w:rPr>
          <w:rFonts w:cs="Arial"/>
        </w:rPr>
        <w:t xml:space="preserve"> </w:t>
      </w:r>
      <w:r w:rsidRPr="00F6366E">
        <w:rPr>
          <w:rFonts w:cs="Arial"/>
        </w:rPr>
        <w:t>published on</w:t>
      </w:r>
      <w:r>
        <w:rPr>
          <w:rFonts w:cs="Arial"/>
        </w:rPr>
        <w:t xml:space="preserve"> the </w:t>
      </w:r>
      <w:r w:rsidRPr="00F6366E">
        <w:rPr>
          <w:rFonts w:cs="Arial"/>
        </w:rPr>
        <w:t xml:space="preserve">link </w:t>
      </w:r>
      <w:hyperlink r:id="rId11" w:history="1">
        <w:r w:rsidR="007C45C6" w:rsidRPr="007C45C6">
          <w:rPr>
            <w:rStyle w:val="Hyperlink"/>
            <w:rFonts w:cs="Arial"/>
          </w:rPr>
          <w:t>Ukraine Tenders | GIZ</w:t>
        </w:r>
      </w:hyperlink>
      <w:r>
        <w:rPr>
          <w:lang w:val="uk-UA"/>
        </w:rPr>
        <w:t xml:space="preserve"> </w:t>
      </w:r>
      <w:r>
        <w:rPr>
          <w:lang w:val="en-US"/>
        </w:rPr>
        <w:t xml:space="preserve">(section “Terms of procurement of services”/ </w:t>
      </w:r>
      <w:r>
        <w:rPr>
          <w:lang w:val="uk-UA"/>
        </w:rPr>
        <w:t xml:space="preserve">секція </w:t>
      </w:r>
      <w:r>
        <w:rPr>
          <w:lang w:val="en-US"/>
        </w:rPr>
        <w:t>“</w:t>
      </w:r>
      <w:r>
        <w:rPr>
          <w:lang w:val="uk-UA"/>
        </w:rPr>
        <w:t>Умови закупівель послуг</w:t>
      </w:r>
      <w:r>
        <w:rPr>
          <w:lang w:val="en-US"/>
        </w:rPr>
        <w:t>”</w:t>
      </w:r>
      <w:r>
        <w:rPr>
          <w:lang w:val="uk-UA"/>
        </w:rPr>
        <w:t>)</w:t>
      </w:r>
      <w:r>
        <w:rPr>
          <w:lang w:val="en-US"/>
        </w:rPr>
        <w:t xml:space="preserve"> </w:t>
      </w:r>
      <w:r w:rsidRPr="00D43FAE">
        <w:rPr>
          <w:rFonts w:cs="Arial"/>
        </w:rPr>
        <w:t>and such provisions shall be binding on the parties as if stated in full in this agreement.</w:t>
      </w:r>
    </w:p>
    <w:p w14:paraId="77C0A14D" w14:textId="7BC0D884" w:rsidR="00E477FA" w:rsidRDefault="00E477FA" w:rsidP="00127D3B">
      <w:pPr>
        <w:jc w:val="both"/>
        <w:rPr>
          <w:lang w:val="uk-UA"/>
        </w:rPr>
      </w:pPr>
      <w:r>
        <w:t xml:space="preserve">On the date of signing this </w:t>
      </w:r>
      <w:r w:rsidRPr="25BF2340">
        <w:rPr>
          <w:lang w:val="en-US"/>
        </w:rPr>
        <w:t>Contract</w:t>
      </w:r>
      <w:r>
        <w:t xml:space="preserve">, the Contactor confirms that in accordance with the Tax Code of Ukraine, the Contractor </w:t>
      </w:r>
      <w:r w:rsidRPr="00D93EF8">
        <w:rPr>
          <w:highlight w:val="yellow"/>
        </w:rPr>
        <w:t>is/is not</w:t>
      </w:r>
      <w:r>
        <w:t xml:space="preserve"> </w:t>
      </w:r>
      <w:r w:rsidRPr="25BF2340">
        <w:rPr>
          <w:i/>
          <w:iCs/>
          <w:color w:val="ED7D31" w:themeColor="accent2"/>
        </w:rPr>
        <w:t>(</w:t>
      </w:r>
      <w:r w:rsidR="00ED7840" w:rsidRPr="25BF2340">
        <w:rPr>
          <w:i/>
          <w:iCs/>
          <w:color w:val="ED7D31" w:themeColor="accent2"/>
        </w:rPr>
        <w:t>shall be specified at the time of contract preparation by the procurement unit responsible for contract preparation</w:t>
      </w:r>
      <w:r w:rsidRPr="25BF2340">
        <w:rPr>
          <w:i/>
          <w:iCs/>
          <w:color w:val="ED7D31" w:themeColor="accent2"/>
        </w:rPr>
        <w:t>)</w:t>
      </w:r>
      <w:r w:rsidRPr="25BF2340">
        <w:rPr>
          <w:color w:val="ED7D31" w:themeColor="accent2"/>
        </w:rPr>
        <w:t xml:space="preserve"> </w:t>
      </w:r>
      <w:r>
        <w:t>a payer of value added tax under general conditions.</w:t>
      </w:r>
    </w:p>
    <w:p w14:paraId="5DB1436A" w14:textId="67515502" w:rsidR="004C4E87" w:rsidRDefault="004C4E87" w:rsidP="00127D3B">
      <w:pPr>
        <w:jc w:val="both"/>
        <w:rPr>
          <w:i/>
          <w:iCs/>
          <w:color w:val="ED7D31" w:themeColor="accent2"/>
        </w:rPr>
      </w:pPr>
      <w:r w:rsidRPr="004C4E87">
        <w:t>In case if on the date of Contract signing the Contractor is not registered as a VAT payer and during execution of the Contract the Contractor becomes registered as a VAT payer, the cost of the Contract remains unchanged and is to be considered with VAT. </w:t>
      </w:r>
    </w:p>
    <w:p w14:paraId="2B04DE39" w14:textId="22F0006D" w:rsidR="007A3BEA" w:rsidRDefault="007A3BEA" w:rsidP="00127D3B">
      <w:pPr>
        <w:jc w:val="both"/>
      </w:pPr>
      <w:r w:rsidRPr="57BB384F">
        <w:rPr>
          <w:rFonts w:cs="Arial"/>
        </w:rPr>
        <w:t>The Contractor shall be responsible for all taxes and other payments according to the Ukrainian law. Taxes, levies or fees to the Government of Ukraine shall be paid by the Contractor</w:t>
      </w:r>
      <w:r>
        <w:rPr>
          <w:rFonts w:cs="Arial"/>
        </w:rPr>
        <w:t>.</w:t>
      </w:r>
    </w:p>
    <w:p w14:paraId="33F8F917" w14:textId="6AC99931" w:rsidR="00E477FA" w:rsidRPr="00230E53" w:rsidRDefault="00E477FA" w:rsidP="75166D84">
      <w:pPr>
        <w:jc w:val="both"/>
        <w:rPr>
          <w:i/>
          <w:iCs/>
          <w:lang w:val="uk-UA"/>
        </w:rPr>
      </w:pPr>
      <w:r w:rsidRPr="75166D84">
        <w:rPr>
          <w:lang w:val="en-US"/>
        </w:rPr>
        <w:t>Contact person from GIZ side</w:t>
      </w:r>
      <w:r w:rsidR="00F10643" w:rsidRPr="75166D84">
        <w:rPr>
          <w:lang w:val="en-US"/>
        </w:rPr>
        <w:t xml:space="preserve"> responsible for contract implementation and communication with the Contractor</w:t>
      </w:r>
      <w:r w:rsidRPr="75166D84">
        <w:rPr>
          <w:lang w:val="en-US"/>
        </w:rPr>
        <w:t xml:space="preserve"> _______ </w:t>
      </w:r>
      <w:r w:rsidRPr="75166D84">
        <w:rPr>
          <w:i/>
          <w:iCs/>
          <w:lang w:val="en-US"/>
        </w:rPr>
        <w:t>(indicate name</w:t>
      </w:r>
      <w:r w:rsidR="00B65CF1" w:rsidRPr="75166D84">
        <w:rPr>
          <w:i/>
          <w:iCs/>
          <w:lang w:val="en-US"/>
        </w:rPr>
        <w:t xml:space="preserve">/-s, </w:t>
      </w:r>
      <w:r w:rsidRPr="75166D84">
        <w:rPr>
          <w:i/>
          <w:iCs/>
          <w:lang w:val="en-US"/>
        </w:rPr>
        <w:t>surname</w:t>
      </w:r>
      <w:r w:rsidR="00B65CF1" w:rsidRPr="75166D84">
        <w:rPr>
          <w:i/>
          <w:iCs/>
          <w:lang w:val="en-US"/>
        </w:rPr>
        <w:t>/-s</w:t>
      </w:r>
      <w:r w:rsidRPr="75166D84">
        <w:rPr>
          <w:i/>
          <w:iCs/>
          <w:lang w:val="en-US"/>
        </w:rPr>
        <w:t>, phone</w:t>
      </w:r>
      <w:r w:rsidR="00B65CF1" w:rsidRPr="75166D84">
        <w:rPr>
          <w:i/>
          <w:iCs/>
          <w:lang w:val="en-US"/>
        </w:rPr>
        <w:t>/-s</w:t>
      </w:r>
      <w:r w:rsidRPr="75166D84">
        <w:rPr>
          <w:i/>
          <w:iCs/>
          <w:lang w:val="en-US"/>
        </w:rPr>
        <w:t>, e-mai</w:t>
      </w:r>
      <w:r w:rsidR="00B65CF1" w:rsidRPr="75166D84">
        <w:rPr>
          <w:i/>
          <w:iCs/>
          <w:lang w:val="en-US"/>
        </w:rPr>
        <w:t>l/-s</w:t>
      </w:r>
      <w:r w:rsidRPr="75166D84">
        <w:rPr>
          <w:i/>
          <w:iCs/>
          <w:lang w:val="en-US"/>
        </w:rPr>
        <w:t>)</w:t>
      </w:r>
      <w:r w:rsidR="00230E53" w:rsidRPr="00D93EF8">
        <w:rPr>
          <w:rFonts w:cs="Arial"/>
          <w:i/>
          <w:iCs/>
          <w:color w:val="ED7D31" w:themeColor="accent2"/>
        </w:rPr>
        <w:t xml:space="preserve"> (</w:t>
      </w:r>
      <w:r w:rsidR="00230E53" w:rsidRPr="75166D84">
        <w:rPr>
          <w:i/>
          <w:iCs/>
          <w:color w:val="ED7D31" w:themeColor="accent2"/>
        </w:rPr>
        <w:t>shall be specified at the time of contract preparation by the procurement unit responsible for contract preparation)</w:t>
      </w:r>
    </w:p>
    <w:p w14:paraId="7178B368" w14:textId="77777777" w:rsidR="00E477FA" w:rsidRDefault="00E477FA" w:rsidP="00127D3B">
      <w:pPr>
        <w:jc w:val="both"/>
        <w:rPr>
          <w:rStyle w:val="ui-provider"/>
          <w:lang w:val="uk-UA"/>
        </w:rPr>
      </w:pPr>
      <w:r>
        <w:rPr>
          <w:rStyle w:val="ui-provider"/>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01EAD4EA" w14:textId="62EBA9BC" w:rsidR="00D519F6" w:rsidRPr="005D26F7" w:rsidRDefault="0076702E" w:rsidP="00127D3B">
      <w:pPr>
        <w:jc w:val="both"/>
        <w:rPr>
          <w:rStyle w:val="ui-provider"/>
          <w:rFonts w:cs="Arial"/>
          <w:lang w:val="uk-UA"/>
        </w:rPr>
      </w:pPr>
      <w:r w:rsidRPr="004A4396">
        <w:rPr>
          <w:rStyle w:val="ui-provider"/>
          <w:rFonts w:cs="Arial"/>
        </w:rPr>
        <w:t>The Contractor is obliged to provide the originals of documents indicated in the special agreement at his own expense.</w:t>
      </w:r>
    </w:p>
    <w:p w14:paraId="76E61D25" w14:textId="5306DCE5" w:rsidR="00BF2788" w:rsidRDefault="00BF2788" w:rsidP="00127D3B">
      <w:pPr>
        <w:pStyle w:val="ListParagraph"/>
        <w:ind w:left="0"/>
        <w:jc w:val="both"/>
        <w:rPr>
          <w:lang w:val="en-US"/>
        </w:rPr>
      </w:pPr>
      <w:r w:rsidRPr="00081256">
        <w:rPr>
          <w:lang w:val="en-US"/>
        </w:rPr>
        <w:t xml:space="preserve">Additionally, </w:t>
      </w:r>
      <w:r>
        <w:rPr>
          <w:lang w:val="en-US"/>
        </w:rPr>
        <w:t xml:space="preserve">the Contractor </w:t>
      </w:r>
      <w:r w:rsidR="00D81419">
        <w:rPr>
          <w:lang w:val="en-US"/>
        </w:rPr>
        <w:t>must</w:t>
      </w:r>
      <w:r>
        <w:rPr>
          <w:lang w:val="en-US"/>
        </w:rPr>
        <w:t xml:space="preserve">: </w:t>
      </w:r>
    </w:p>
    <w:p w14:paraId="74F9061B" w14:textId="77777777" w:rsidR="00BF2788" w:rsidRPr="00526D1C" w:rsidRDefault="00BF2788" w:rsidP="00696913">
      <w:pPr>
        <w:numPr>
          <w:ilvl w:val="0"/>
          <w:numId w:val="6"/>
        </w:numPr>
        <w:spacing w:before="100" w:beforeAutospacing="1" w:after="0"/>
        <w:jc w:val="both"/>
        <w:rPr>
          <w:lang w:val="en-US"/>
        </w:rPr>
      </w:pPr>
      <w:r w:rsidRPr="00526D1C">
        <w:rPr>
          <w:lang w:val="en-US"/>
        </w:rPr>
        <w:t>be a registered legal entity</w:t>
      </w:r>
      <w:r>
        <w:rPr>
          <w:lang w:val="en-US"/>
        </w:rPr>
        <w:t xml:space="preserve">/private entrepreneur </w:t>
      </w:r>
      <w:r w:rsidRPr="00526D1C">
        <w:rPr>
          <w:lang w:val="en-US"/>
        </w:rPr>
        <w:t>in Ukraine;</w:t>
      </w:r>
    </w:p>
    <w:p w14:paraId="106C28C8" w14:textId="2F443BA2" w:rsidR="00BF2788" w:rsidRPr="00526D1C" w:rsidRDefault="00BF2788" w:rsidP="00696913">
      <w:pPr>
        <w:numPr>
          <w:ilvl w:val="0"/>
          <w:numId w:val="6"/>
        </w:numPr>
        <w:spacing w:before="100" w:beforeAutospacing="1" w:after="0"/>
        <w:jc w:val="both"/>
        <w:rPr>
          <w:lang w:val="en-US"/>
        </w:rPr>
      </w:pPr>
      <w:r w:rsidRPr="00526D1C">
        <w:rPr>
          <w:lang w:val="en-US"/>
        </w:rPr>
        <w:t>not be on the sanctions list of Ukraine, the EU</w:t>
      </w:r>
      <w:r w:rsidR="00525C7E">
        <w:rPr>
          <w:lang w:val="en-US"/>
        </w:rPr>
        <w:t>, the UN</w:t>
      </w:r>
      <w:r w:rsidRPr="00526D1C">
        <w:rPr>
          <w:lang w:val="en-US"/>
        </w:rPr>
        <w:t>;</w:t>
      </w:r>
    </w:p>
    <w:p w14:paraId="20653495" w14:textId="520013AA" w:rsidR="00BF2788" w:rsidRPr="00526D1C" w:rsidRDefault="00BF2788" w:rsidP="00696913">
      <w:pPr>
        <w:numPr>
          <w:ilvl w:val="0"/>
          <w:numId w:val="6"/>
        </w:numPr>
        <w:spacing w:before="100" w:beforeAutospacing="1" w:after="0"/>
        <w:jc w:val="both"/>
        <w:rPr>
          <w:lang w:val="en-US"/>
        </w:rPr>
      </w:pPr>
      <w:r w:rsidRPr="00526D1C">
        <w:rPr>
          <w:lang w:val="en-US"/>
        </w:rPr>
        <w:t>ensure that the final beneficiaries</w:t>
      </w:r>
      <w:r>
        <w:rPr>
          <w:lang w:val="en-US"/>
        </w:rPr>
        <w:t xml:space="preserve">/participants </w:t>
      </w:r>
      <w:r w:rsidRPr="00526D1C">
        <w:rPr>
          <w:lang w:val="en-US"/>
        </w:rPr>
        <w:t>are not on the sanctions list of Ukraine, the EU</w:t>
      </w:r>
      <w:r w:rsidR="00525C7E">
        <w:rPr>
          <w:lang w:val="en-US"/>
        </w:rPr>
        <w:t>, the UN</w:t>
      </w:r>
      <w:r>
        <w:rPr>
          <w:lang w:val="en-US"/>
        </w:rPr>
        <w:t>;</w:t>
      </w:r>
    </w:p>
    <w:p w14:paraId="659F0D3F" w14:textId="77777777" w:rsidR="00BF2788" w:rsidRDefault="00BF2788" w:rsidP="00696913">
      <w:pPr>
        <w:numPr>
          <w:ilvl w:val="0"/>
          <w:numId w:val="6"/>
        </w:numPr>
        <w:spacing w:before="100" w:beforeAutospacing="1" w:after="0"/>
        <w:jc w:val="both"/>
        <w:rPr>
          <w:lang w:val="en-US"/>
        </w:rPr>
      </w:pPr>
      <w:r w:rsidRPr="00526D1C">
        <w:rPr>
          <w:lang w:val="en-US"/>
        </w:rPr>
        <w:t>not be in the process of termination;</w:t>
      </w:r>
    </w:p>
    <w:p w14:paraId="21CC10EA" w14:textId="24DFB816" w:rsidR="00BF2788" w:rsidRDefault="00BF2788" w:rsidP="00696913">
      <w:pPr>
        <w:numPr>
          <w:ilvl w:val="0"/>
          <w:numId w:val="6"/>
        </w:numPr>
        <w:spacing w:before="100" w:beforeAutospacing="1" w:after="0"/>
        <w:jc w:val="both"/>
        <w:rPr>
          <w:lang w:val="en-US"/>
        </w:rPr>
      </w:pPr>
      <w:r w:rsidRPr="75166D84">
        <w:rPr>
          <w:lang w:val="en-US"/>
        </w:rPr>
        <w:t xml:space="preserve">not be </w:t>
      </w:r>
      <w:r w:rsidR="00B8256A" w:rsidRPr="75166D84">
        <w:rPr>
          <w:lang w:val="en-US"/>
        </w:rPr>
        <w:t>registered</w:t>
      </w:r>
      <w:r w:rsidRPr="75166D84">
        <w:rPr>
          <w:lang w:val="en-US"/>
        </w:rPr>
        <w:t xml:space="preserve"> on </w:t>
      </w:r>
      <w:r w:rsidR="00280118" w:rsidRPr="75166D84">
        <w:rPr>
          <w:rFonts w:cs="Arial"/>
          <w:lang w:val="en-US"/>
        </w:rPr>
        <w:t xml:space="preserve">temporary </w:t>
      </w:r>
      <w:r w:rsidR="00B8256A" w:rsidRPr="75166D84">
        <w:rPr>
          <w:rFonts w:cs="Arial"/>
          <w:lang w:val="en-US"/>
        </w:rPr>
        <w:t>occupied</w:t>
      </w:r>
      <w:r w:rsidR="00280118" w:rsidRPr="75166D84">
        <w:rPr>
          <w:rFonts w:cs="Arial"/>
          <w:lang w:val="en-US"/>
        </w:rPr>
        <w:t xml:space="preserve"> territories of Ukraine</w:t>
      </w:r>
      <w:r w:rsidRPr="75166D84">
        <w:rPr>
          <w:lang w:val="en-US"/>
        </w:rPr>
        <w:t>;</w:t>
      </w:r>
    </w:p>
    <w:p w14:paraId="2CB1B17B" w14:textId="3E825686" w:rsidR="00BF2788" w:rsidRPr="00526D1C" w:rsidRDefault="00BF2788" w:rsidP="00696913">
      <w:pPr>
        <w:numPr>
          <w:ilvl w:val="0"/>
          <w:numId w:val="6"/>
        </w:numPr>
        <w:spacing w:before="100" w:beforeAutospacing="1" w:after="0"/>
        <w:jc w:val="both"/>
        <w:rPr>
          <w:lang w:val="uk-UA"/>
        </w:rPr>
      </w:pPr>
      <w:r w:rsidRPr="007B1CC2">
        <w:rPr>
          <w:lang w:val="en-US"/>
        </w:rPr>
        <w:lastRenderedPageBreak/>
        <w:t xml:space="preserve">not </w:t>
      </w:r>
      <w:r>
        <w:rPr>
          <w:lang w:val="en-US"/>
        </w:rPr>
        <w:t xml:space="preserve">have </w:t>
      </w:r>
      <w:r w:rsidRPr="007B1CC2">
        <w:rPr>
          <w:lang w:val="uk-UA"/>
        </w:rPr>
        <w:t xml:space="preserve">the ultimate beneficial owner, member or participant (shareholder), having a share in the authorized capital of 10 percent or more, which is the Russian Federation, </w:t>
      </w:r>
      <w:r w:rsidR="00525C7E">
        <w:rPr>
          <w:rFonts w:cs="Arial"/>
          <w:lang w:val="en-US"/>
        </w:rPr>
        <w:t xml:space="preserve">the Republic of Belarus, </w:t>
      </w:r>
      <w:r w:rsidR="00525C7E" w:rsidRPr="001A4190">
        <w:rPr>
          <w:rFonts w:cs="Arial"/>
          <w:lang w:val="en-US"/>
        </w:rPr>
        <w:t>the Islamic Republic of Iran</w:t>
      </w:r>
      <w:r w:rsidR="00525C7E">
        <w:rPr>
          <w:rFonts w:cs="Arial"/>
          <w:lang w:val="en-US"/>
        </w:rPr>
        <w:t>,</w:t>
      </w:r>
      <w:r w:rsidR="00525C7E" w:rsidRPr="007B1CC2">
        <w:rPr>
          <w:lang w:val="uk-UA"/>
        </w:rPr>
        <w:t xml:space="preserve"> </w:t>
      </w:r>
      <w:r w:rsidRPr="007B1CC2">
        <w:rPr>
          <w:lang w:val="uk-UA"/>
        </w:rPr>
        <w:t>a citizen of the Russian Federation,</w:t>
      </w:r>
      <w:r w:rsidR="00525C7E">
        <w:rPr>
          <w:lang w:val="en-US"/>
        </w:rPr>
        <w:t xml:space="preserve"> </w:t>
      </w:r>
      <w:r w:rsidR="00525C7E">
        <w:rPr>
          <w:rFonts w:cs="Arial"/>
          <w:lang w:val="en-US"/>
        </w:rPr>
        <w:t xml:space="preserve">the Republic of Belarus, </w:t>
      </w:r>
      <w:r w:rsidR="00525C7E" w:rsidRPr="001A4190">
        <w:rPr>
          <w:rFonts w:cs="Arial"/>
          <w:lang w:val="en-US"/>
        </w:rPr>
        <w:t>the Islamic Republic of Iran</w:t>
      </w:r>
      <w:r w:rsidRPr="007B1CC2">
        <w:rPr>
          <w:lang w:val="uk-UA"/>
        </w:rPr>
        <w:t xml:space="preserve"> except for those who live on the territory of Ukraine on legal grounds, or a legal entity created and registered in accordance with the legislation of the Russian Federation</w:t>
      </w:r>
      <w:r w:rsidR="00525C7E">
        <w:rPr>
          <w:lang w:val="en-US"/>
        </w:rPr>
        <w:t xml:space="preserve">, </w:t>
      </w:r>
      <w:r w:rsidR="00525C7E">
        <w:rPr>
          <w:rFonts w:cs="Arial"/>
          <w:lang w:val="en-US"/>
        </w:rPr>
        <w:t xml:space="preserve">the Republic of Belarus, </w:t>
      </w:r>
      <w:r w:rsidR="00525C7E" w:rsidRPr="001A4190">
        <w:rPr>
          <w:rFonts w:cs="Arial"/>
          <w:lang w:val="en-US"/>
        </w:rPr>
        <w:t>the Islamic Republic of Iran</w:t>
      </w:r>
      <w:r>
        <w:rPr>
          <w:lang w:val="uk-UA"/>
        </w:rPr>
        <w:t xml:space="preserve">. </w:t>
      </w:r>
    </w:p>
    <w:p w14:paraId="72F69C90" w14:textId="1B8C4953" w:rsidR="00BF2788" w:rsidRPr="00161922" w:rsidRDefault="00E07D72" w:rsidP="00127D3B">
      <w:pPr>
        <w:jc w:val="both"/>
        <w:rPr>
          <w:rFonts w:eastAsia="Arial" w:cs="Arial"/>
          <w:lang w:val="en-US"/>
        </w:rPr>
      </w:pPr>
      <w:r w:rsidRPr="00100B49">
        <w:rPr>
          <w:rFonts w:eastAsia="Arial" w:cs="Arial"/>
          <w:lang w:val="en-US"/>
        </w:rPr>
        <w:t>GIZ reserves the right to verify th</w:t>
      </w:r>
      <w:r w:rsidR="00525C7E">
        <w:rPr>
          <w:rFonts w:eastAsia="Arial" w:cs="Arial"/>
          <w:lang w:val="en-US"/>
        </w:rPr>
        <w:t>e</w:t>
      </w:r>
      <w:r w:rsidRPr="00100B49">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7451B1F5" w14:textId="689C5DB2" w:rsidR="00E7510C" w:rsidRPr="00161922" w:rsidRDefault="00E07D72" w:rsidP="00696913">
      <w:pPr>
        <w:pStyle w:val="ListParagraph"/>
        <w:numPr>
          <w:ilvl w:val="1"/>
          <w:numId w:val="5"/>
        </w:numPr>
        <w:spacing w:line="240" w:lineRule="exact"/>
        <w:jc w:val="both"/>
        <w:rPr>
          <w:rFonts w:cs="Arial"/>
          <w:b/>
          <w:bCs/>
        </w:rPr>
      </w:pPr>
      <w:r w:rsidRPr="00161922">
        <w:rPr>
          <w:rFonts w:cs="Arial"/>
          <w:b/>
          <w:bCs/>
          <w:lang w:eastAsia="uk-UA"/>
        </w:rPr>
        <w:t xml:space="preserve">VAT Exemption </w:t>
      </w:r>
      <w:r w:rsidR="00513B3D" w:rsidRPr="00161922">
        <w:t xml:space="preserve">– </w:t>
      </w:r>
      <w:r w:rsidR="00513B3D" w:rsidRPr="00161922">
        <w:rPr>
          <w:rFonts w:cs="Arial"/>
        </w:rPr>
        <w:t>Not Applicable</w:t>
      </w:r>
    </w:p>
    <w:p w14:paraId="1D6855D1" w14:textId="5874D635" w:rsidR="00E477FA" w:rsidRPr="00161922" w:rsidRDefault="00E477FA" w:rsidP="00696913">
      <w:pPr>
        <w:pStyle w:val="Heading1"/>
        <w:numPr>
          <w:ilvl w:val="0"/>
          <w:numId w:val="5"/>
        </w:numPr>
        <w:ind w:left="0" w:firstLine="0"/>
        <w:jc w:val="both"/>
        <w:rPr>
          <w:rFonts w:cs="Arial"/>
          <w:szCs w:val="22"/>
        </w:rPr>
      </w:pPr>
      <w:r w:rsidRPr="00161922">
        <w:t>Outsourced processing of personal data</w:t>
      </w:r>
      <w:r w:rsidR="00FF5247" w:rsidRPr="00161922">
        <w:t xml:space="preserve"> </w:t>
      </w:r>
      <w:r w:rsidR="007534FD" w:rsidRPr="00161922">
        <w:rPr>
          <w:b w:val="0"/>
          <w:bCs w:val="0"/>
        </w:rPr>
        <w:t>– Not applicable</w:t>
      </w:r>
    </w:p>
    <w:p w14:paraId="317E85E3" w14:textId="557C5B6A" w:rsidR="0051151D" w:rsidRPr="00D93EF8" w:rsidRDefault="008261A9" w:rsidP="00696913">
      <w:pPr>
        <w:pStyle w:val="ListParagraph"/>
        <w:numPr>
          <w:ilvl w:val="0"/>
          <w:numId w:val="5"/>
        </w:numPr>
        <w:tabs>
          <w:tab w:val="left" w:pos="284"/>
        </w:tabs>
        <w:ind w:left="0" w:firstLine="0"/>
        <w:jc w:val="both"/>
        <w:rPr>
          <w:b/>
          <w:lang w:val="uk-UA"/>
        </w:rPr>
      </w:pPr>
      <w:bookmarkStart w:id="90" w:name="_Toc119492775"/>
      <w:bookmarkStart w:id="91" w:name="_Toc119492820"/>
      <w:bookmarkStart w:id="92" w:name="_Toc119492869"/>
      <w:bookmarkStart w:id="93" w:name="_Toc119492984"/>
      <w:bookmarkStart w:id="94" w:name="_Toc119493072"/>
      <w:bookmarkStart w:id="95" w:name="_Toc119493222"/>
      <w:bookmarkStart w:id="96" w:name="_Toc119493846"/>
      <w:bookmarkStart w:id="97" w:name="_Ref508121786"/>
      <w:bookmarkStart w:id="98" w:name="_Ref508122384"/>
      <w:bookmarkStart w:id="99" w:name="_Ref508122597"/>
      <w:bookmarkStart w:id="100" w:name="_Toc508620018"/>
      <w:bookmarkStart w:id="101" w:name="_Toc119493847"/>
      <w:bookmarkStart w:id="102" w:name="_Toc127948124"/>
      <w:bookmarkEnd w:id="54"/>
      <w:bookmarkEnd w:id="55"/>
      <w:bookmarkEnd w:id="89"/>
      <w:bookmarkEnd w:id="90"/>
      <w:bookmarkEnd w:id="91"/>
      <w:bookmarkEnd w:id="92"/>
      <w:bookmarkEnd w:id="93"/>
      <w:bookmarkEnd w:id="94"/>
      <w:bookmarkEnd w:id="95"/>
      <w:bookmarkEnd w:id="96"/>
      <w:r w:rsidRPr="0051151D">
        <w:rPr>
          <w:b/>
        </w:rPr>
        <w:t xml:space="preserve">Requirements </w:t>
      </w:r>
      <w:r w:rsidR="00F40FC7">
        <w:rPr>
          <w:b/>
        </w:rPr>
        <w:t>to</w:t>
      </w:r>
      <w:r w:rsidRPr="0051151D">
        <w:rPr>
          <w:b/>
        </w:rPr>
        <w:t xml:space="preserve"> the format of the </w:t>
      </w:r>
      <w:bookmarkEnd w:id="97"/>
      <w:bookmarkEnd w:id="98"/>
      <w:bookmarkEnd w:id="99"/>
      <w:bookmarkEnd w:id="100"/>
      <w:bookmarkEnd w:id="101"/>
      <w:bookmarkEnd w:id="102"/>
      <w:r w:rsidR="005C6AC2">
        <w:rPr>
          <w:b/>
        </w:rPr>
        <w:t>bid</w:t>
      </w:r>
    </w:p>
    <w:p w14:paraId="4B86713B" w14:textId="2270D828" w:rsidR="0051151D" w:rsidRPr="00D93EF8" w:rsidRDefault="008F14EA" w:rsidP="00696913">
      <w:pPr>
        <w:pStyle w:val="ListParagraph"/>
        <w:numPr>
          <w:ilvl w:val="1"/>
          <w:numId w:val="5"/>
        </w:numPr>
        <w:ind w:left="0" w:firstLine="0"/>
        <w:jc w:val="both"/>
        <w:rPr>
          <w:rFonts w:eastAsia="Arial" w:cs="Arial"/>
          <w:b/>
          <w:bCs/>
          <w:lang w:val="uk-UA"/>
        </w:rPr>
      </w:pPr>
      <w:bookmarkStart w:id="103" w:name="_Toc112161422"/>
      <w:bookmarkStart w:id="104" w:name="_Toc127948125"/>
      <w:r w:rsidRPr="00127D3B">
        <w:rPr>
          <w:rFonts w:eastAsia="Arial" w:cs="Arial"/>
          <w:b/>
          <w:bCs/>
          <w:lang w:val="en-US"/>
        </w:rPr>
        <w:t>Documents to be submitte</w:t>
      </w:r>
      <w:bookmarkEnd w:id="103"/>
      <w:bookmarkEnd w:id="104"/>
      <w:r w:rsidR="0051151D" w:rsidRPr="00127D3B">
        <w:rPr>
          <w:rFonts w:eastAsia="Arial" w:cs="Arial"/>
          <w:b/>
          <w:bCs/>
          <w:lang w:val="en-US"/>
        </w:rPr>
        <w:t>d</w:t>
      </w:r>
    </w:p>
    <w:p w14:paraId="1A9F84C0" w14:textId="7BE65F87" w:rsidR="008F14EA" w:rsidRPr="0051151D" w:rsidRDefault="008F14EA" w:rsidP="00696913">
      <w:pPr>
        <w:pStyle w:val="ListParagraph"/>
        <w:numPr>
          <w:ilvl w:val="2"/>
          <w:numId w:val="5"/>
        </w:numPr>
        <w:ind w:left="0" w:firstLine="0"/>
        <w:jc w:val="both"/>
        <w:rPr>
          <w:rFonts w:eastAsiaTheme="majorEastAsia"/>
          <w:b/>
          <w:szCs w:val="26"/>
        </w:rPr>
      </w:pPr>
      <w:bookmarkStart w:id="105" w:name="_Toc112161423"/>
      <w:bookmarkStart w:id="106" w:name="_Toc127948126"/>
      <w:r w:rsidRPr="0051151D">
        <w:rPr>
          <w:rStyle w:val="normaltextrun"/>
          <w:rFonts w:eastAsia="Arial"/>
          <w:b/>
          <w:lang w:val="en-US"/>
        </w:rPr>
        <w:t xml:space="preserve">Technical </w:t>
      </w:r>
      <w:bookmarkEnd w:id="105"/>
      <w:bookmarkEnd w:id="106"/>
      <w:r w:rsidR="00E35F1E">
        <w:rPr>
          <w:rStyle w:val="normaltextrun"/>
          <w:rFonts w:eastAsia="Arial"/>
          <w:b/>
          <w:lang w:val="en-US"/>
        </w:rPr>
        <w:t>bid</w:t>
      </w:r>
    </w:p>
    <w:p w14:paraId="4E4077A8" w14:textId="594142CC" w:rsidR="008F14EA" w:rsidRPr="00127D3B" w:rsidRDefault="005C6AC2" w:rsidP="00127D3B">
      <w:pPr>
        <w:jc w:val="both"/>
        <w:rPr>
          <w:rFonts w:eastAsia="Arial" w:cs="Arial"/>
          <w:lang w:val="en-US"/>
        </w:rPr>
      </w:pPr>
      <w:r w:rsidRPr="00127D3B">
        <w:rPr>
          <w:rFonts w:eastAsia="Arial" w:cs="Arial"/>
          <w:lang w:val="en-US"/>
        </w:rPr>
        <w:t>T</w:t>
      </w:r>
      <w:r w:rsidR="008F14EA" w:rsidRPr="00127D3B">
        <w:rPr>
          <w:rFonts w:eastAsia="Arial" w:cs="Arial"/>
          <w:lang w:val="en-US"/>
        </w:rPr>
        <w:t>enderers must provide the following documents:</w:t>
      </w:r>
    </w:p>
    <w:p w14:paraId="1A3B507C" w14:textId="2B66FC36" w:rsidR="008F14EA" w:rsidRPr="00127D3B" w:rsidRDefault="008F14EA" w:rsidP="00696913">
      <w:pPr>
        <w:pStyle w:val="ListParagraph"/>
        <w:numPr>
          <w:ilvl w:val="0"/>
          <w:numId w:val="4"/>
        </w:numPr>
        <w:spacing w:line="259" w:lineRule="auto"/>
        <w:jc w:val="both"/>
        <w:rPr>
          <w:rFonts w:eastAsia="Arial" w:cs="Arial"/>
          <w:lang w:val="en-US"/>
        </w:rPr>
      </w:pPr>
      <w:r w:rsidRPr="00127D3B">
        <w:rPr>
          <w:rFonts w:eastAsia="Arial" w:cs="Arial"/>
          <w:lang w:val="en-US"/>
        </w:rPr>
        <w:t xml:space="preserve">a technical </w:t>
      </w:r>
      <w:r w:rsidR="00E35F1E" w:rsidRPr="00127D3B">
        <w:rPr>
          <w:rFonts w:eastAsia="Arial" w:cs="Arial"/>
          <w:lang w:val="en-US"/>
        </w:rPr>
        <w:t>bid</w:t>
      </w:r>
      <w:r w:rsidRPr="00127D3B">
        <w:rPr>
          <w:rFonts w:eastAsia="Arial" w:cs="Arial"/>
          <w:lang w:val="en-US"/>
        </w:rPr>
        <w:t xml:space="preserve"> containing a description of the methodology proposed in relation to the identified tasks</w:t>
      </w:r>
      <w:r w:rsidRPr="00127D3B">
        <w:rPr>
          <w:rFonts w:eastAsia="Arial" w:cs="Arial"/>
        </w:rPr>
        <w:t xml:space="preserve">. </w:t>
      </w:r>
      <w:r w:rsidRPr="00127D3B">
        <w:rPr>
          <w:rFonts w:eastAsia="Arial" w:cs="Arial"/>
          <w:b/>
          <w:bCs/>
          <w:lang w:val="en-US"/>
        </w:rPr>
        <w:t xml:space="preserve">Technical </w:t>
      </w:r>
      <w:r w:rsidR="00E35F1E" w:rsidRPr="00127D3B">
        <w:rPr>
          <w:rFonts w:eastAsia="Arial" w:cs="Arial"/>
          <w:b/>
          <w:bCs/>
          <w:lang w:val="en-US"/>
        </w:rPr>
        <w:t>bid</w:t>
      </w:r>
      <w:r w:rsidRPr="00127D3B">
        <w:rPr>
          <w:rFonts w:eastAsia="Arial" w:cs="Arial"/>
          <w:b/>
          <w:bCs/>
          <w:lang w:val="en-US"/>
        </w:rPr>
        <w:t xml:space="preserve"> must be signed and stamped (if stamp is used);</w:t>
      </w:r>
    </w:p>
    <w:p w14:paraId="0219DBB7" w14:textId="424874FE" w:rsidR="008F14EA" w:rsidRPr="0035261A" w:rsidRDefault="005C6AC2" w:rsidP="00696913">
      <w:pPr>
        <w:pStyle w:val="ListParagraph"/>
        <w:numPr>
          <w:ilvl w:val="0"/>
          <w:numId w:val="4"/>
        </w:numPr>
        <w:spacing w:line="259" w:lineRule="auto"/>
        <w:jc w:val="both"/>
        <w:rPr>
          <w:rFonts w:eastAsia="Arial" w:cs="Arial"/>
          <w:b/>
          <w:bCs/>
          <w:i/>
          <w:iCs/>
          <w:lang w:val="en-US"/>
        </w:rPr>
      </w:pPr>
      <w:r w:rsidRPr="0035261A">
        <w:rPr>
          <w:rFonts w:eastAsia="Arial" w:cs="Arial"/>
          <w:i/>
          <w:iCs/>
          <w:lang w:val="en-US"/>
        </w:rPr>
        <w:t>CVs</w:t>
      </w:r>
      <w:r w:rsidR="008F14EA" w:rsidRPr="0035261A">
        <w:rPr>
          <w:rFonts w:eastAsia="Arial" w:cs="Arial"/>
          <w:i/>
          <w:iCs/>
          <w:lang w:val="en-US"/>
        </w:rPr>
        <w:t xml:space="preserve"> of all experts with relevant work experience, qualifications (education, certificates). </w:t>
      </w:r>
    </w:p>
    <w:p w14:paraId="7D959946" w14:textId="2F4DF31C" w:rsidR="008F14EA" w:rsidRPr="001261F8" w:rsidRDefault="008F14EA" w:rsidP="00127D3B">
      <w:pPr>
        <w:jc w:val="both"/>
      </w:pPr>
      <w:r>
        <w:t>The structure of the</w:t>
      </w:r>
      <w:r w:rsidR="005C6AC2">
        <w:t xml:space="preserve"> technical</w:t>
      </w:r>
      <w:r>
        <w:t xml:space="preserve"> </w:t>
      </w:r>
      <w:r w:rsidR="005C6AC2">
        <w:t>bid</w:t>
      </w:r>
      <w:r>
        <w:t xml:space="preserve"> must correspond to the structure of the ToRs. In particular, the detailed structure of the concept (Chapter 3) should be organised in accordance with the positively weighted criteria in the assessment grid (not with zero). The</w:t>
      </w:r>
      <w:r w:rsidR="005C6AC2">
        <w:t xml:space="preserve"> technical</w:t>
      </w:r>
      <w:r>
        <w:t xml:space="preserve"> </w:t>
      </w:r>
      <w:r w:rsidR="005C6AC2">
        <w:t>bid</w:t>
      </w:r>
      <w:r>
        <w:t xml:space="preserve"> must be legible (font size 11 or larger) and clearly formulated. It must be drawn up in </w:t>
      </w:r>
      <w:r w:rsidR="00FD575D">
        <w:fldChar w:fldCharType="begin">
          <w:ffData>
            <w:name w:val="Text90"/>
            <w:enabled/>
            <w:calcOnExit w:val="0"/>
            <w:textInput>
              <w:default w:val="Ukrainian or English"/>
            </w:textInput>
          </w:ffData>
        </w:fldChar>
      </w:r>
      <w:bookmarkStart w:id="107" w:name="Text90"/>
      <w:r w:rsidR="00FD575D">
        <w:instrText xml:space="preserve"> FORMTEXT </w:instrText>
      </w:r>
      <w:r w:rsidR="00FD575D">
        <w:fldChar w:fldCharType="separate"/>
      </w:r>
      <w:r w:rsidR="00FD575D">
        <w:rPr>
          <w:noProof/>
        </w:rPr>
        <w:t>Ukrainian or English</w:t>
      </w:r>
      <w:r w:rsidR="00FD575D">
        <w:fldChar w:fldCharType="end"/>
      </w:r>
      <w:bookmarkEnd w:id="107"/>
      <w:r>
        <w:t xml:space="preserve"> (language).</w:t>
      </w:r>
    </w:p>
    <w:p w14:paraId="6F261627" w14:textId="18280E2A" w:rsidR="008F14EA" w:rsidRDefault="008F14EA" w:rsidP="00127D3B">
      <w:pPr>
        <w:jc w:val="both"/>
      </w:pPr>
      <w:r>
        <w:t xml:space="preserve">The complete </w:t>
      </w:r>
      <w:r w:rsidR="005C6AC2">
        <w:t>technical bid</w:t>
      </w:r>
      <w:r>
        <w:t xml:space="preserve"> must not exceed </w:t>
      </w:r>
      <w:r w:rsidR="000B4257">
        <w:fldChar w:fldCharType="begin">
          <w:ffData>
            <w:name w:val=""/>
            <w:enabled/>
            <w:calcOnExit w:val="0"/>
            <w:textInput>
              <w:default w:val="30"/>
            </w:textInput>
          </w:ffData>
        </w:fldChar>
      </w:r>
      <w:r w:rsidR="000B4257">
        <w:instrText xml:space="preserve"> FORMTEXT </w:instrText>
      </w:r>
      <w:r w:rsidR="000B4257">
        <w:fldChar w:fldCharType="separate"/>
      </w:r>
      <w:r w:rsidR="000B4257">
        <w:rPr>
          <w:noProof/>
        </w:rPr>
        <w:t>30</w:t>
      </w:r>
      <w:r w:rsidR="000B4257">
        <w:fldChar w:fldCharType="end"/>
      </w:r>
      <w:r>
        <w:t xml:space="preserve"> pages (excluding CVs). If one of the maximum page lengths is exceeded, the content appearing after the cut-off point will not be included in the assessment. External content (e.g. links to websites) will also not be considered.</w:t>
      </w:r>
    </w:p>
    <w:p w14:paraId="064BF8C0" w14:textId="455A46AC" w:rsidR="008F14EA" w:rsidRPr="001261F8" w:rsidRDefault="008F14EA" w:rsidP="00127D3B">
      <w:pPr>
        <w:jc w:val="both"/>
      </w:pPr>
      <w:r>
        <w:t>The CVs of the personnel proposed in accordance with Chapter </w:t>
      </w:r>
      <w:r w:rsidRPr="001261F8">
        <w:fldChar w:fldCharType="begin"/>
      </w:r>
      <w:r w:rsidRPr="001261F8">
        <w:instrText xml:space="preserve"> REF _Ref508122930 \r \h </w:instrText>
      </w:r>
      <w:r w:rsidR="00BF435E">
        <w:instrText xml:space="preserve"> \* MERGEFORMAT </w:instrText>
      </w:r>
      <w:r w:rsidRPr="001261F8">
        <w:fldChar w:fldCharType="separate"/>
      </w:r>
      <w:r>
        <w:t>4</w:t>
      </w:r>
      <w:r w:rsidRPr="001261F8">
        <w:fldChar w:fldCharType="end"/>
      </w:r>
      <w:r>
        <w:t xml:space="preserve"> of the ToRs must be submitted using the format specified in the terms and conditions for application</w:t>
      </w:r>
      <w:r w:rsidR="00184804">
        <w:t xml:space="preserve"> (if such format of CV is set)</w:t>
      </w:r>
      <w:r>
        <w:t xml:space="preserve">. The CVs shall not exceed </w:t>
      </w:r>
      <w:r w:rsidR="000B4257">
        <w:rPr>
          <w:lang w:val="uk-UA"/>
        </w:rPr>
        <w:t>10</w:t>
      </w:r>
      <w:r>
        <w:t xml:space="preserve"> pages each. They must clearly show the position and job the proposed person held in the reference project and for how long. The CVs </w:t>
      </w:r>
      <w:r w:rsidR="00184804">
        <w:t>must be drawn up</w:t>
      </w:r>
      <w:r>
        <w:t xml:space="preserve"> in </w:t>
      </w:r>
      <w:r w:rsidR="000B4257">
        <w:fldChar w:fldCharType="begin">
          <w:ffData>
            <w:name w:val="Text90"/>
            <w:enabled/>
            <w:calcOnExit w:val="0"/>
            <w:textInput>
              <w:default w:val="Ukrainian or English"/>
            </w:textInput>
          </w:ffData>
        </w:fldChar>
      </w:r>
      <w:r w:rsidR="000B4257">
        <w:instrText xml:space="preserve"> FORMTEXT </w:instrText>
      </w:r>
      <w:r w:rsidR="000B4257">
        <w:fldChar w:fldCharType="separate"/>
      </w:r>
      <w:r w:rsidR="000B4257">
        <w:rPr>
          <w:noProof/>
        </w:rPr>
        <w:t>Ukrainian or English</w:t>
      </w:r>
      <w:r w:rsidR="000B4257">
        <w:fldChar w:fldCharType="end"/>
      </w:r>
      <w:r>
        <w:t xml:space="preserve"> (language).</w:t>
      </w:r>
    </w:p>
    <w:p w14:paraId="350EAB36" w14:textId="1F1B050D" w:rsidR="008F14EA" w:rsidRPr="00127D3B" w:rsidRDefault="008F14EA" w:rsidP="00127D3B">
      <w:pPr>
        <w:jc w:val="both"/>
        <w:rPr>
          <w:rFonts w:eastAsia="Arial" w:cs="Arial"/>
          <w:b/>
          <w:bCs/>
          <w:lang w:val="en-US"/>
        </w:rPr>
      </w:pPr>
      <w:r w:rsidRPr="00127D3B">
        <w:rPr>
          <w:rFonts w:eastAsia="Arial" w:cs="Arial"/>
          <w:b/>
          <w:bCs/>
          <w:lang w:val="en-US"/>
        </w:rPr>
        <w:t xml:space="preserve">The technical </w:t>
      </w:r>
      <w:r w:rsidR="00184804" w:rsidRPr="00127D3B">
        <w:rPr>
          <w:rFonts w:eastAsia="Arial" w:cs="Arial"/>
          <w:b/>
          <w:bCs/>
          <w:lang w:val="en-US"/>
        </w:rPr>
        <w:t>bid</w:t>
      </w:r>
      <w:r w:rsidRPr="00127D3B">
        <w:rPr>
          <w:rFonts w:eastAsia="Arial" w:cs="Arial"/>
          <w:b/>
          <w:bCs/>
          <w:lang w:val="en-US"/>
        </w:rPr>
        <w:t xml:space="preserve"> must not include any financial information such as daily fees for experts or any other payments.</w:t>
      </w:r>
      <w:r w:rsidR="00184804" w:rsidRPr="00127D3B">
        <w:rPr>
          <w:rFonts w:eastAsia="Arial" w:cs="Arial"/>
          <w:b/>
          <w:bCs/>
          <w:lang w:val="en-US"/>
        </w:rPr>
        <w:t xml:space="preserve"> </w:t>
      </w:r>
      <w:r w:rsidR="000B4257" w:rsidRPr="00127D3B">
        <w:rPr>
          <w:rFonts w:eastAsia="Arial" w:cs="Arial"/>
          <w:b/>
          <w:bCs/>
          <w:lang w:val="en-US"/>
        </w:rPr>
        <w:t>Otherwise,</w:t>
      </w:r>
      <w:r w:rsidR="00184804" w:rsidRPr="00127D3B">
        <w:rPr>
          <w:rFonts w:eastAsia="Arial" w:cs="Arial"/>
          <w:b/>
          <w:bCs/>
          <w:lang w:val="en-US"/>
        </w:rPr>
        <w:t xml:space="preserve"> the bid will be disqualified. </w:t>
      </w:r>
    </w:p>
    <w:p w14:paraId="0ECB0526" w14:textId="0DAA8245" w:rsidR="008F14EA" w:rsidRPr="0051151D" w:rsidRDefault="008F14EA" w:rsidP="00696913">
      <w:pPr>
        <w:pStyle w:val="ListParagraph"/>
        <w:numPr>
          <w:ilvl w:val="2"/>
          <w:numId w:val="5"/>
        </w:numPr>
        <w:tabs>
          <w:tab w:val="left" w:pos="284"/>
        </w:tabs>
        <w:ind w:left="0" w:firstLine="0"/>
        <w:jc w:val="both"/>
        <w:rPr>
          <w:rStyle w:val="normaltextrun"/>
          <w:rFonts w:eastAsia="Arial"/>
          <w:b/>
          <w:lang w:val="en-US"/>
        </w:rPr>
      </w:pPr>
      <w:bookmarkStart w:id="108" w:name="_Toc112161424"/>
      <w:bookmarkStart w:id="109" w:name="_Toc127948127"/>
      <w:r w:rsidRPr="0051151D">
        <w:rPr>
          <w:rStyle w:val="normaltextrun"/>
          <w:rFonts w:eastAsia="Arial"/>
          <w:b/>
          <w:lang w:val="en-US"/>
        </w:rPr>
        <w:t xml:space="preserve">Commercial </w:t>
      </w:r>
      <w:bookmarkEnd w:id="108"/>
      <w:bookmarkEnd w:id="109"/>
      <w:r w:rsidR="00E35F1E">
        <w:rPr>
          <w:rStyle w:val="normaltextrun"/>
          <w:rFonts w:eastAsia="Arial"/>
          <w:b/>
          <w:lang w:val="en-US"/>
        </w:rPr>
        <w:t>bid</w:t>
      </w:r>
    </w:p>
    <w:p w14:paraId="1D9134B6" w14:textId="3CA56BA0" w:rsidR="008F14EA" w:rsidRPr="00127D3B" w:rsidRDefault="008F14EA" w:rsidP="00127D3B">
      <w:pPr>
        <w:jc w:val="both"/>
        <w:rPr>
          <w:rFonts w:eastAsia="Arial" w:cs="Arial"/>
          <w:lang w:val="uk-UA"/>
        </w:rPr>
      </w:pPr>
      <w:r w:rsidRPr="00127D3B">
        <w:rPr>
          <w:rFonts w:eastAsia="Arial" w:cs="Arial"/>
          <w:lang w:val="en-US"/>
        </w:rPr>
        <w:t xml:space="preserve">The commercial </w:t>
      </w:r>
      <w:r w:rsidR="00E35F1E" w:rsidRPr="00127D3B">
        <w:rPr>
          <w:rFonts w:eastAsia="Arial" w:cs="Arial"/>
          <w:lang w:val="en-US"/>
        </w:rPr>
        <w:t>bid</w:t>
      </w:r>
      <w:r w:rsidRPr="00127D3B">
        <w:rPr>
          <w:rFonts w:eastAsia="Arial" w:cs="Arial"/>
          <w:lang w:val="en-US"/>
        </w:rPr>
        <w:t xml:space="preserve"> must include the costs associated with the implementation of the assignment and must be provided according to the format provided in the tender documentation</w:t>
      </w:r>
      <w:r w:rsidR="00AD6EB3" w:rsidRPr="00127D3B">
        <w:rPr>
          <w:rFonts w:eastAsia="Arial" w:cs="Arial"/>
          <w:lang w:val="en-US"/>
        </w:rPr>
        <w:t xml:space="preserve">. </w:t>
      </w:r>
    </w:p>
    <w:p w14:paraId="669FDC8B" w14:textId="579D45D7" w:rsidR="008F14EA" w:rsidRPr="00127D3B" w:rsidRDefault="008F14EA" w:rsidP="00127D3B">
      <w:pPr>
        <w:jc w:val="both"/>
        <w:rPr>
          <w:rFonts w:eastAsia="Arial" w:cs="Arial"/>
          <w:b/>
          <w:bCs/>
        </w:rPr>
      </w:pPr>
      <w:r w:rsidRPr="00127D3B">
        <w:rPr>
          <w:rFonts w:eastAsia="Arial" w:cs="Arial"/>
          <w:b/>
          <w:bCs/>
          <w:lang w:val="en-US"/>
        </w:rPr>
        <w:t xml:space="preserve">Commercial </w:t>
      </w:r>
      <w:r w:rsidR="00E35F1E" w:rsidRPr="00127D3B">
        <w:rPr>
          <w:rFonts w:eastAsia="Arial" w:cs="Arial"/>
          <w:b/>
          <w:bCs/>
          <w:lang w:val="en-US"/>
        </w:rPr>
        <w:t>bid</w:t>
      </w:r>
      <w:r w:rsidRPr="00127D3B">
        <w:rPr>
          <w:rFonts w:eastAsia="Arial" w:cs="Arial"/>
          <w:b/>
          <w:bCs/>
          <w:lang w:val="en-US"/>
        </w:rPr>
        <w:t xml:space="preserve"> must be signed and stamped (if stamp is used)</w:t>
      </w:r>
      <w:r w:rsidRPr="00127D3B">
        <w:rPr>
          <w:rFonts w:eastAsia="Arial" w:cs="Arial"/>
          <w:b/>
          <w:bCs/>
        </w:rPr>
        <w:t>.</w:t>
      </w:r>
    </w:p>
    <w:p w14:paraId="1291CF56" w14:textId="2E2EE1E8" w:rsidR="0051151D" w:rsidRDefault="008F14EA" w:rsidP="00696913">
      <w:pPr>
        <w:pStyle w:val="ListParagraph"/>
        <w:numPr>
          <w:ilvl w:val="2"/>
          <w:numId w:val="5"/>
        </w:numPr>
        <w:ind w:left="0" w:firstLine="0"/>
        <w:jc w:val="both"/>
        <w:rPr>
          <w:b/>
          <w:lang w:val="en-US"/>
        </w:rPr>
      </w:pPr>
      <w:r w:rsidRPr="00E35F1E">
        <w:rPr>
          <w:b/>
          <w:lang w:val="en-US"/>
        </w:rPr>
        <w:t xml:space="preserve">Registration documents of the </w:t>
      </w:r>
      <w:r w:rsidR="00E477FA">
        <w:rPr>
          <w:b/>
          <w:lang w:val="en-US"/>
        </w:rPr>
        <w:t>tenderer</w:t>
      </w:r>
    </w:p>
    <w:p w14:paraId="657BD075" w14:textId="3004546F" w:rsidR="00A444A8" w:rsidRPr="00CD7F73" w:rsidRDefault="000716F5" w:rsidP="00127D3B">
      <w:pPr>
        <w:pStyle w:val="ListParagraph"/>
        <w:ind w:left="0"/>
        <w:jc w:val="both"/>
        <w:rPr>
          <w:b/>
          <w:lang w:val="en-US"/>
        </w:rPr>
      </w:pPr>
      <w:r w:rsidRPr="00B0759C">
        <w:rPr>
          <w:lang w:val="en-US"/>
        </w:rPr>
        <w:t>Should</w:t>
      </w:r>
      <w:r w:rsidR="00AD6EB3" w:rsidRPr="00AD6EB3">
        <w:rPr>
          <w:lang w:val="en-US"/>
        </w:rPr>
        <w:t xml:space="preserve"> be </w:t>
      </w:r>
      <w:r w:rsidRPr="00AD6EB3">
        <w:rPr>
          <w:lang w:val="en-US"/>
        </w:rPr>
        <w:t>provided</w:t>
      </w:r>
      <w:r w:rsidR="00AD6EB3" w:rsidRPr="00AD6EB3">
        <w:rPr>
          <w:lang w:val="en-US"/>
        </w:rPr>
        <w:t xml:space="preserve"> a</w:t>
      </w:r>
      <w:r w:rsidR="00CD7F73" w:rsidRPr="00AD6EB3">
        <w:rPr>
          <w:lang w:val="en-US"/>
        </w:rPr>
        <w:t xml:space="preserve">ccording to the requirements of tender documentation </w:t>
      </w:r>
    </w:p>
    <w:p w14:paraId="256D5E87" w14:textId="48FF5435" w:rsidR="00081256" w:rsidRDefault="00081256" w:rsidP="00696913">
      <w:pPr>
        <w:pStyle w:val="ListParagraph"/>
        <w:numPr>
          <w:ilvl w:val="2"/>
          <w:numId w:val="5"/>
        </w:numPr>
        <w:ind w:left="0" w:firstLine="0"/>
        <w:jc w:val="both"/>
        <w:rPr>
          <w:b/>
          <w:lang w:val="en-US"/>
        </w:rPr>
      </w:pPr>
      <w:bookmarkStart w:id="110" w:name="_Toc112161425"/>
      <w:bookmarkStart w:id="111" w:name="_Toc127948128"/>
      <w:r>
        <w:rPr>
          <w:b/>
          <w:lang w:val="en-US"/>
        </w:rPr>
        <w:t xml:space="preserve">Documents for tenderer’s eligibility confirmation </w:t>
      </w:r>
      <w:bookmarkEnd w:id="110"/>
      <w:bookmarkEnd w:id="111"/>
      <w:r w:rsidR="009B7AB8">
        <w:rPr>
          <w:b/>
          <w:lang w:val="en-US"/>
        </w:rPr>
        <w:t xml:space="preserve"> </w:t>
      </w:r>
    </w:p>
    <w:tbl>
      <w:tblPr>
        <w:tblStyle w:val="TableGrid"/>
        <w:tblW w:w="0" w:type="auto"/>
        <w:tblLook w:val="04A0" w:firstRow="1" w:lastRow="0" w:firstColumn="1" w:lastColumn="0" w:noHBand="0" w:noVBand="1"/>
      </w:tblPr>
      <w:tblGrid>
        <w:gridCol w:w="4743"/>
        <w:gridCol w:w="4744"/>
      </w:tblGrid>
      <w:tr w:rsidR="00081256" w14:paraId="19FFB318" w14:textId="77777777" w:rsidTr="001274F7">
        <w:trPr>
          <w:trHeight w:val="664"/>
        </w:trPr>
        <w:tc>
          <w:tcPr>
            <w:tcW w:w="4743" w:type="dxa"/>
          </w:tcPr>
          <w:p w14:paraId="75C4DFE1" w14:textId="0D9491F0" w:rsidR="00081256" w:rsidRPr="00D93EF8" w:rsidRDefault="000D47FF" w:rsidP="00D93EF8">
            <w:pPr>
              <w:jc w:val="both"/>
              <w:rPr>
                <w:rFonts w:cs="Arial"/>
                <w:b/>
                <w:bCs/>
                <w:sz w:val="22"/>
                <w:szCs w:val="22"/>
                <w:lang w:val="en-US"/>
              </w:rPr>
            </w:pPr>
            <w:r>
              <w:rPr>
                <w:rFonts w:eastAsia="Arial" w:cs="Arial"/>
                <w:lang w:val="en-US"/>
              </w:rPr>
              <w:lastRenderedPageBreak/>
              <w:t>1.</w:t>
            </w:r>
            <w:r w:rsidR="00081256" w:rsidRPr="00127D3B">
              <w:rPr>
                <w:rFonts w:eastAsia="Arial" w:cs="Arial"/>
                <w:lang w:val="en-US"/>
              </w:rPr>
              <w:t xml:space="preserve">The tenderer is obliged to conform to the following eligibility </w:t>
            </w:r>
            <w:r w:rsidR="002944A8">
              <w:rPr>
                <w:rFonts w:eastAsia="Arial" w:cs="Arial"/>
                <w:lang w:val="en-US"/>
              </w:rPr>
              <w:t>requirements</w:t>
            </w:r>
            <w:r w:rsidR="00081256" w:rsidRPr="00127D3B">
              <w:rPr>
                <w:rFonts w:eastAsia="Arial" w:cs="Arial"/>
                <w:lang w:val="en-US"/>
              </w:rPr>
              <w:t>:</w:t>
            </w:r>
          </w:p>
        </w:tc>
        <w:tc>
          <w:tcPr>
            <w:tcW w:w="4744" w:type="dxa"/>
          </w:tcPr>
          <w:p w14:paraId="1CCDB0AE" w14:textId="20EC3D1C" w:rsidR="00081256" w:rsidRPr="002B0AF2" w:rsidRDefault="00081256" w:rsidP="00127D3B">
            <w:pPr>
              <w:pStyle w:val="ListParagraph"/>
              <w:ind w:left="0"/>
              <w:jc w:val="both"/>
              <w:rPr>
                <w:rFonts w:cs="Arial"/>
              </w:rPr>
            </w:pPr>
            <w:r w:rsidRPr="002B0AF2">
              <w:rPr>
                <w:rFonts w:cs="Arial"/>
              </w:rPr>
              <w:t xml:space="preserve">The tenderer must provide the following document to confirm the compliance with eligibility </w:t>
            </w:r>
            <w:r w:rsidR="002944A8" w:rsidRPr="002B0AF2">
              <w:rPr>
                <w:rFonts w:cs="Arial"/>
              </w:rPr>
              <w:t>requirements</w:t>
            </w:r>
            <w:r w:rsidRPr="002B0AF2">
              <w:rPr>
                <w:rFonts w:cs="Arial"/>
              </w:rPr>
              <w:t>:</w:t>
            </w:r>
          </w:p>
        </w:tc>
      </w:tr>
      <w:tr w:rsidR="00E57BA7" w14:paraId="53A6434E" w14:textId="77777777" w:rsidTr="002F398C">
        <w:tc>
          <w:tcPr>
            <w:tcW w:w="4743" w:type="dxa"/>
          </w:tcPr>
          <w:p w14:paraId="018655D2" w14:textId="629D419C" w:rsidR="00E57BA7" w:rsidRPr="00287F37" w:rsidRDefault="000D47FF" w:rsidP="00287F37">
            <w:pPr>
              <w:jc w:val="both"/>
              <w:rPr>
                <w:rFonts w:cs="Arial"/>
                <w:b/>
                <w:bCs/>
                <w:lang w:val="en-US"/>
              </w:rPr>
            </w:pPr>
            <w:r>
              <w:rPr>
                <w:rFonts w:cs="Arial"/>
                <w:lang w:val="en-US"/>
              </w:rPr>
              <w:t>2.</w:t>
            </w:r>
            <w:r w:rsidR="00E57BA7" w:rsidRPr="00287F37">
              <w:rPr>
                <w:rFonts w:cs="Arial"/>
                <w:lang w:val="en-US"/>
              </w:rPr>
              <w:t xml:space="preserve">Average annual turnover for the last three financial years: at least </w:t>
            </w:r>
            <w:r w:rsidR="00477783">
              <w:rPr>
                <w:rFonts w:cs="Arial"/>
                <w:b/>
                <w:bCs/>
                <w:lang w:val="en-US"/>
              </w:rPr>
              <w:t>10</w:t>
            </w:r>
            <w:r w:rsidR="00376311">
              <w:rPr>
                <w:rFonts w:cs="Arial"/>
                <w:b/>
                <w:bCs/>
                <w:lang w:val="en-US"/>
              </w:rPr>
              <w:t>.000</w:t>
            </w:r>
            <w:r w:rsidR="00E57BA7" w:rsidRPr="00287F37">
              <w:rPr>
                <w:rFonts w:cs="Arial"/>
                <w:b/>
                <w:bCs/>
                <w:lang w:val="en-US"/>
              </w:rPr>
              <w:t xml:space="preserve"> </w:t>
            </w:r>
            <w:r w:rsidR="00376311">
              <w:rPr>
                <w:rFonts w:cs="Arial"/>
                <w:b/>
                <w:bCs/>
                <w:lang w:val="en-US"/>
              </w:rPr>
              <w:t>EUR</w:t>
            </w:r>
          </w:p>
        </w:tc>
        <w:tc>
          <w:tcPr>
            <w:tcW w:w="4744" w:type="dxa"/>
          </w:tcPr>
          <w:p w14:paraId="19971250" w14:textId="3BB1BDD3" w:rsidR="00E57BA7" w:rsidRPr="002B0AF2" w:rsidRDefault="00E57BA7" w:rsidP="00E57BA7">
            <w:pPr>
              <w:pStyle w:val="ListParagraph"/>
              <w:ind w:left="0"/>
              <w:jc w:val="both"/>
              <w:rPr>
                <w:rFonts w:cs="Arial"/>
              </w:rPr>
            </w:pPr>
            <w:r w:rsidRPr="002B0AF2">
              <w:rPr>
                <w:rFonts w:cs="Arial"/>
              </w:rPr>
              <w:t>Please provide financial statements for the last three financial years.</w:t>
            </w:r>
          </w:p>
        </w:tc>
      </w:tr>
      <w:tr w:rsidR="00E57BA7" w14:paraId="2F00C62C" w14:textId="77777777" w:rsidTr="002F398C">
        <w:tc>
          <w:tcPr>
            <w:tcW w:w="4743" w:type="dxa"/>
          </w:tcPr>
          <w:p w14:paraId="2C70EE2D" w14:textId="623FD5E0" w:rsidR="00E57BA7" w:rsidRPr="00287F37" w:rsidRDefault="000D47FF" w:rsidP="00287F37">
            <w:pPr>
              <w:jc w:val="both"/>
              <w:rPr>
                <w:rFonts w:cs="Arial"/>
                <w:b/>
                <w:bCs/>
                <w:lang w:val="en-US"/>
              </w:rPr>
            </w:pPr>
            <w:r>
              <w:rPr>
                <w:rFonts w:cs="Arial"/>
                <w:lang w:val="en-US"/>
              </w:rPr>
              <w:t>3.</w:t>
            </w:r>
            <w:r w:rsidR="00E57BA7" w:rsidRPr="00287F37">
              <w:rPr>
                <w:rFonts w:cs="Arial"/>
                <w:lang w:val="en-US"/>
              </w:rPr>
              <w:t>Average number of permanent employees for the last three calendar years</w:t>
            </w:r>
            <w:r w:rsidR="00477783">
              <w:rPr>
                <w:rFonts w:cs="Arial"/>
                <w:lang w:val="en-US"/>
              </w:rPr>
              <w:t>2023-2025</w:t>
            </w:r>
            <w:r w:rsidR="00E57BA7" w:rsidRPr="00287F37">
              <w:rPr>
                <w:rFonts w:cs="Arial"/>
                <w:lang w:val="en-US"/>
              </w:rPr>
              <w:t xml:space="preserve">: </w:t>
            </w:r>
            <w:r w:rsidR="00E57BA7" w:rsidRPr="00287F37">
              <w:rPr>
                <w:rFonts w:cs="Arial"/>
                <w:b/>
                <w:bCs/>
                <w:lang w:val="en-US"/>
              </w:rPr>
              <w:t xml:space="preserve">at least </w:t>
            </w:r>
            <w:r w:rsidR="00477783">
              <w:rPr>
                <w:rFonts w:cs="Arial"/>
                <w:b/>
                <w:bCs/>
                <w:lang w:val="en-US"/>
              </w:rPr>
              <w:t>2</w:t>
            </w:r>
            <w:r w:rsidR="00477783" w:rsidRPr="00287F37">
              <w:rPr>
                <w:rFonts w:cs="Arial"/>
                <w:b/>
                <w:bCs/>
                <w:lang w:val="en-US"/>
              </w:rPr>
              <w:t xml:space="preserve"> </w:t>
            </w:r>
            <w:r w:rsidR="00E57BA7" w:rsidRPr="00287F37">
              <w:rPr>
                <w:rFonts w:cs="Arial"/>
                <w:b/>
                <w:bCs/>
                <w:lang w:val="en-US"/>
              </w:rPr>
              <w:t>persons</w:t>
            </w:r>
          </w:p>
        </w:tc>
        <w:tc>
          <w:tcPr>
            <w:tcW w:w="4744" w:type="dxa"/>
          </w:tcPr>
          <w:p w14:paraId="036E069F" w14:textId="40AD53ED" w:rsidR="00E57BA7" w:rsidRPr="002B0AF2" w:rsidRDefault="00E57BA7" w:rsidP="002B0AF2">
            <w:pPr>
              <w:pStyle w:val="ListParagraph"/>
              <w:ind w:left="0"/>
              <w:jc w:val="both"/>
              <w:rPr>
                <w:rFonts w:cs="Arial"/>
              </w:rPr>
            </w:pPr>
            <w:r w:rsidRPr="002B0AF2">
              <w:rPr>
                <w:rFonts w:cs="Arial"/>
              </w:rPr>
              <w:t>Please provide statements on the number of employees for the last three years with a signature and seal</w:t>
            </w:r>
          </w:p>
        </w:tc>
      </w:tr>
      <w:tr w:rsidR="00E57BA7" w14:paraId="756E3B9D" w14:textId="77777777" w:rsidTr="002F398C">
        <w:tc>
          <w:tcPr>
            <w:tcW w:w="4743" w:type="dxa"/>
          </w:tcPr>
          <w:p w14:paraId="10C6745D" w14:textId="1D4343E6" w:rsidR="007D584D" w:rsidRDefault="000D47FF" w:rsidP="00E57BA7">
            <w:pPr>
              <w:pStyle w:val="ListParagraph"/>
              <w:ind w:left="0"/>
              <w:jc w:val="both"/>
              <w:rPr>
                <w:rFonts w:cs="Arial"/>
                <w:lang w:val="en-US"/>
              </w:rPr>
            </w:pPr>
            <w:r>
              <w:rPr>
                <w:rFonts w:cs="Arial"/>
                <w:lang w:val="en-US"/>
              </w:rPr>
              <w:t>4.</w:t>
            </w:r>
            <w:r w:rsidR="007D584D" w:rsidRPr="002B0AF2">
              <w:rPr>
                <w:rFonts w:cs="Arial"/>
                <w:lang w:val="en-US"/>
              </w:rPr>
              <w:t xml:space="preserve"> Experience in </w:t>
            </w:r>
            <w:r w:rsidR="007D584D">
              <w:rPr>
                <w:rFonts w:cs="Arial"/>
                <w:lang w:val="en-US"/>
              </w:rPr>
              <w:t>design works and/or installation of cogeneration</w:t>
            </w:r>
            <w:r w:rsidR="005232A3">
              <w:rPr>
                <w:rFonts w:cs="Arial"/>
                <w:lang w:val="en-US"/>
              </w:rPr>
              <w:t xml:space="preserve"> units for </w:t>
            </w:r>
            <w:r w:rsidR="007D584D">
              <w:rPr>
                <w:rFonts w:cs="Arial"/>
                <w:lang w:val="en-US"/>
              </w:rPr>
              <w:t>(</w:t>
            </w:r>
            <w:r w:rsidR="005232A3">
              <w:rPr>
                <w:rFonts w:cs="Arial"/>
                <w:lang w:val="en-US"/>
              </w:rPr>
              <w:t>heating and power supply</w:t>
            </w:r>
            <w:r w:rsidR="00E57BA7" w:rsidRPr="002B0AF2">
              <w:rPr>
                <w:rFonts w:cs="Arial"/>
                <w:lang w:val="en-US"/>
              </w:rPr>
              <w:t xml:space="preserve">) </w:t>
            </w:r>
            <w:r w:rsidR="007D584D">
              <w:rPr>
                <w:rFonts w:cs="Arial"/>
                <w:lang w:val="en-US"/>
              </w:rPr>
              <w:t>–</w:t>
            </w:r>
          </w:p>
          <w:p w14:paraId="4BBF599B" w14:textId="1A3DA07E" w:rsidR="00E57BA7" w:rsidRPr="002B0AF2" w:rsidRDefault="00E57BA7" w:rsidP="00E57BA7">
            <w:pPr>
              <w:pStyle w:val="ListParagraph"/>
              <w:ind w:left="0"/>
              <w:jc w:val="both"/>
              <w:rPr>
                <w:rFonts w:cs="Arial"/>
                <w:lang w:val="en-US"/>
              </w:rPr>
            </w:pPr>
            <w:r w:rsidRPr="002B0AF2">
              <w:rPr>
                <w:rFonts w:cs="Arial"/>
                <w:lang w:val="en-US"/>
              </w:rPr>
              <w:t>at least 3 Projects from last 3 years</w:t>
            </w:r>
            <w:r w:rsidR="00477783" w:rsidRPr="00287F37">
              <w:rPr>
                <w:rFonts w:cs="Arial"/>
                <w:lang w:val="en-US"/>
              </w:rPr>
              <w:t xml:space="preserve"> </w:t>
            </w:r>
            <w:r w:rsidR="00477783">
              <w:rPr>
                <w:rFonts w:cs="Arial"/>
                <w:lang w:val="en-US"/>
              </w:rPr>
              <w:t>2023-2025</w:t>
            </w:r>
            <w:r w:rsidRPr="002B0AF2">
              <w:rPr>
                <w:rFonts w:cs="Arial"/>
                <w:lang w:val="en-US"/>
              </w:rPr>
              <w:t xml:space="preserve">, amount of each at least </w:t>
            </w:r>
            <w:r w:rsidR="004A7567">
              <w:rPr>
                <w:rFonts w:cs="Arial"/>
                <w:lang w:val="en-US"/>
              </w:rPr>
              <w:t>5.000.000 UAH</w:t>
            </w:r>
          </w:p>
        </w:tc>
        <w:tc>
          <w:tcPr>
            <w:tcW w:w="4744" w:type="dxa"/>
          </w:tcPr>
          <w:p w14:paraId="06DD5E10" w14:textId="1B2C32F5" w:rsidR="00E57BA7" w:rsidRPr="002B0AF2" w:rsidRDefault="00E57BA7" w:rsidP="00E57BA7">
            <w:pPr>
              <w:pStyle w:val="ListParagraph"/>
              <w:ind w:left="0"/>
              <w:jc w:val="both"/>
              <w:rPr>
                <w:rFonts w:cs="Arial"/>
              </w:rPr>
            </w:pPr>
            <w:r w:rsidRPr="002B0AF2">
              <w:rPr>
                <w:rFonts w:cs="Arial"/>
              </w:rPr>
              <w:t xml:space="preserve">Please provide the information in an arbitrary form on the </w:t>
            </w:r>
            <w:r w:rsidR="00287F37" w:rsidRPr="002B0AF2">
              <w:rPr>
                <w:rFonts w:cs="Arial"/>
              </w:rPr>
              <w:t>reference projects</w:t>
            </w:r>
            <w:r w:rsidRPr="002B0AF2">
              <w:rPr>
                <w:rFonts w:cs="Arial"/>
              </w:rPr>
              <w:t>. The document shall be signed and sealed</w:t>
            </w:r>
          </w:p>
        </w:tc>
      </w:tr>
      <w:tr w:rsidR="002F398C" w14:paraId="432BCDFB" w14:textId="77777777" w:rsidTr="002F398C">
        <w:tc>
          <w:tcPr>
            <w:tcW w:w="4743" w:type="dxa"/>
          </w:tcPr>
          <w:p w14:paraId="20F1F1E5" w14:textId="4942C788" w:rsidR="002F398C" w:rsidRPr="002B0AF2" w:rsidRDefault="000D47FF" w:rsidP="00127D3B">
            <w:pPr>
              <w:pStyle w:val="ListParagraph"/>
              <w:ind w:left="0"/>
              <w:jc w:val="both"/>
              <w:rPr>
                <w:rFonts w:cs="Arial"/>
                <w:lang w:val="en-US"/>
              </w:rPr>
            </w:pPr>
            <w:r>
              <w:rPr>
                <w:rFonts w:cs="Arial"/>
                <w:lang w:val="en-US"/>
              </w:rPr>
              <w:t>5.</w:t>
            </w:r>
            <w:r w:rsidR="004A7567">
              <w:rPr>
                <w:rFonts w:cs="Arial"/>
                <w:lang w:val="en-US"/>
              </w:rPr>
              <w:fldChar w:fldCharType="begin">
                <w:ffData>
                  <w:name w:val=""/>
                  <w:enabled/>
                  <w:calcOnExit w:val="0"/>
                  <w:textInput>
                    <w:default w:val="Experience in design works and/or supervision of works on public buildings in critical infrastructure (at least three projects for last 3 years 2023-2025, amount of each at least 5.000.000 UAH"/>
                  </w:textInput>
                </w:ffData>
              </w:fldChar>
            </w:r>
            <w:r w:rsidR="004A7567">
              <w:rPr>
                <w:rFonts w:cs="Arial"/>
                <w:lang w:val="en-US"/>
              </w:rPr>
              <w:instrText xml:space="preserve"> FORMTEXT </w:instrText>
            </w:r>
            <w:r w:rsidR="004A7567">
              <w:rPr>
                <w:rFonts w:cs="Arial"/>
                <w:lang w:val="en-US"/>
              </w:rPr>
            </w:r>
            <w:r w:rsidR="004A7567">
              <w:rPr>
                <w:rFonts w:cs="Arial"/>
                <w:lang w:val="en-US"/>
              </w:rPr>
              <w:fldChar w:fldCharType="separate"/>
            </w:r>
            <w:r w:rsidR="004A7567">
              <w:rPr>
                <w:rFonts w:cs="Arial"/>
                <w:noProof/>
                <w:lang w:val="en-US"/>
              </w:rPr>
              <w:t>Experience in design works and/or supervision of works on public buildings in critical infrastructure (at least three projects for last 3 years 2023-2025, amount of each at least 5.000.000 UAH</w:t>
            </w:r>
            <w:r w:rsidR="004A7567">
              <w:rPr>
                <w:rFonts w:cs="Arial"/>
                <w:lang w:val="en-US"/>
              </w:rPr>
              <w:fldChar w:fldCharType="end"/>
            </w:r>
          </w:p>
        </w:tc>
        <w:tc>
          <w:tcPr>
            <w:tcW w:w="4744" w:type="dxa"/>
          </w:tcPr>
          <w:p w14:paraId="7CD99B68" w14:textId="0EA64185" w:rsidR="002F398C" w:rsidRPr="002B0AF2" w:rsidRDefault="00C0638D" w:rsidP="00127D3B">
            <w:pPr>
              <w:pStyle w:val="ListParagraph"/>
              <w:ind w:left="0"/>
              <w:jc w:val="both"/>
              <w:rPr>
                <w:rFonts w:cs="Arial"/>
              </w:rPr>
            </w:pPr>
            <w:r w:rsidRPr="002B0AF2">
              <w:rPr>
                <w:rFonts w:cs="Arial"/>
              </w:rPr>
              <w:t>Please provide the information in an arbitrary form on the reference projects</w:t>
            </w:r>
            <w:r>
              <w:rPr>
                <w:rFonts w:cs="Arial"/>
              </w:rPr>
              <w:t>.</w:t>
            </w:r>
            <w:r w:rsidRPr="002B0AF2">
              <w:rPr>
                <w:rFonts w:cs="Arial"/>
              </w:rPr>
              <w:t xml:space="preserve"> The document shall be signed and sealed</w:t>
            </w:r>
            <w:r w:rsidR="009B7AB8">
              <w:rPr>
                <w:rFonts w:cs="Arial"/>
              </w:rPr>
              <w:t xml:space="preserve">  </w:t>
            </w:r>
          </w:p>
        </w:tc>
      </w:tr>
      <w:tr w:rsidR="00287F37" w14:paraId="2CD7B81F" w14:textId="77777777" w:rsidTr="002F398C">
        <w:tc>
          <w:tcPr>
            <w:tcW w:w="4743" w:type="dxa"/>
          </w:tcPr>
          <w:p w14:paraId="6D94A61F" w14:textId="21ED8A5E" w:rsidR="00287F37" w:rsidRPr="002B0AF2" w:rsidRDefault="000D47FF" w:rsidP="00127D3B">
            <w:pPr>
              <w:pStyle w:val="ListParagraph"/>
              <w:ind w:left="0"/>
              <w:jc w:val="both"/>
              <w:rPr>
                <w:rFonts w:cs="Arial"/>
                <w:lang w:val="en-US"/>
              </w:rPr>
            </w:pPr>
            <w:r>
              <w:rPr>
                <w:rFonts w:cs="Arial"/>
                <w:lang w:val="en-US"/>
              </w:rPr>
              <w:t>6.</w:t>
            </w:r>
            <w:r w:rsidR="002B0AF2" w:rsidRPr="002B0AF2">
              <w:rPr>
                <w:rFonts w:cs="Arial"/>
                <w:lang w:val="en-US"/>
              </w:rPr>
              <w:t>Experience in development cooperation with international organizations, currently presented in Ukraine, in heating projects (at least 1 year, at least 1 project)</w:t>
            </w:r>
          </w:p>
        </w:tc>
        <w:tc>
          <w:tcPr>
            <w:tcW w:w="4744" w:type="dxa"/>
          </w:tcPr>
          <w:p w14:paraId="7AB5D5CB" w14:textId="09AB97DB" w:rsidR="00287F37" w:rsidRPr="00484BB1" w:rsidRDefault="00C0638D" w:rsidP="00127D3B">
            <w:pPr>
              <w:pStyle w:val="ListParagraph"/>
              <w:ind w:left="0"/>
              <w:jc w:val="both"/>
              <w:rPr>
                <w:rFonts w:cs="Arial"/>
              </w:rPr>
            </w:pPr>
            <w:r w:rsidRPr="002B0AF2">
              <w:rPr>
                <w:rFonts w:cs="Arial"/>
              </w:rPr>
              <w:t>Please provide the information in an arbitrary form on the reference projects. The document shall be signed and sealed</w:t>
            </w:r>
          </w:p>
        </w:tc>
      </w:tr>
    </w:tbl>
    <w:p w14:paraId="6A29D82C" w14:textId="37F1264C" w:rsidR="00081256" w:rsidRDefault="003E3F77" w:rsidP="00127D3B">
      <w:pPr>
        <w:pStyle w:val="ListParagraph"/>
        <w:ind w:left="0"/>
        <w:jc w:val="both"/>
        <w:rPr>
          <w:lang w:val="en-US"/>
        </w:rPr>
      </w:pPr>
      <w:bookmarkStart w:id="112" w:name="_Hlk156211933"/>
      <w:r w:rsidRPr="75166D84">
        <w:rPr>
          <w:lang w:val="en-US"/>
        </w:rPr>
        <w:t xml:space="preserve">The </w:t>
      </w:r>
      <w:r w:rsidR="00526D1C" w:rsidRPr="75166D84">
        <w:rPr>
          <w:lang w:val="en-US"/>
        </w:rPr>
        <w:t>tendere</w:t>
      </w:r>
      <w:r w:rsidR="00A83DBB" w:rsidRPr="75166D84">
        <w:rPr>
          <w:lang w:val="en-US"/>
        </w:rPr>
        <w:t>r</w:t>
      </w:r>
      <w:r w:rsidR="00526D1C" w:rsidRPr="75166D84">
        <w:rPr>
          <w:lang w:val="en-US"/>
        </w:rPr>
        <w:t xml:space="preserve"> </w:t>
      </w:r>
      <w:r w:rsidR="00A83DBB" w:rsidRPr="75166D84">
        <w:rPr>
          <w:lang w:val="en-US"/>
        </w:rPr>
        <w:t>must</w:t>
      </w:r>
      <w:r w:rsidR="00526D1C" w:rsidRPr="75166D84">
        <w:rPr>
          <w:lang w:val="en-US"/>
        </w:rPr>
        <w:t xml:space="preserve">: </w:t>
      </w:r>
    </w:p>
    <w:p w14:paraId="0B173EF3" w14:textId="07009595" w:rsidR="00526D1C" w:rsidRPr="00526D1C" w:rsidRDefault="00526D1C" w:rsidP="00696913">
      <w:pPr>
        <w:numPr>
          <w:ilvl w:val="0"/>
          <w:numId w:val="6"/>
        </w:numPr>
        <w:spacing w:before="100" w:beforeAutospacing="1" w:after="0"/>
        <w:jc w:val="both"/>
        <w:rPr>
          <w:lang w:val="en-US"/>
        </w:rPr>
      </w:pPr>
      <w:r w:rsidRPr="00526D1C">
        <w:rPr>
          <w:lang w:val="en-US"/>
        </w:rPr>
        <w:t>be a registered legal entity</w:t>
      </w:r>
      <w:r>
        <w:rPr>
          <w:lang w:val="en-US"/>
        </w:rPr>
        <w:t xml:space="preserve">/private entrepreneur </w:t>
      </w:r>
      <w:r w:rsidRPr="00526D1C">
        <w:rPr>
          <w:lang w:val="en-US"/>
        </w:rPr>
        <w:t>in Ukraine;</w:t>
      </w:r>
    </w:p>
    <w:p w14:paraId="15D6B92F" w14:textId="27B8F031" w:rsidR="00526D1C" w:rsidRPr="00526D1C" w:rsidRDefault="00526D1C" w:rsidP="00696913">
      <w:pPr>
        <w:numPr>
          <w:ilvl w:val="0"/>
          <w:numId w:val="6"/>
        </w:numPr>
        <w:spacing w:before="100" w:beforeAutospacing="1" w:after="0"/>
        <w:jc w:val="both"/>
        <w:rPr>
          <w:lang w:val="en-US"/>
        </w:rPr>
      </w:pPr>
      <w:r w:rsidRPr="00526D1C">
        <w:rPr>
          <w:lang w:val="en-US"/>
        </w:rPr>
        <w:t>not be on the sanctions list of Ukraine, the EU</w:t>
      </w:r>
      <w:r w:rsidR="00525C7E">
        <w:rPr>
          <w:lang w:val="en-US"/>
        </w:rPr>
        <w:t>, the UN</w:t>
      </w:r>
      <w:r w:rsidRPr="00526D1C">
        <w:rPr>
          <w:lang w:val="en-US"/>
        </w:rPr>
        <w:t>;</w:t>
      </w:r>
    </w:p>
    <w:p w14:paraId="698B0FCC" w14:textId="07FD947E" w:rsidR="00526D1C" w:rsidRPr="00526D1C" w:rsidRDefault="00526D1C" w:rsidP="00696913">
      <w:pPr>
        <w:numPr>
          <w:ilvl w:val="0"/>
          <w:numId w:val="6"/>
        </w:numPr>
        <w:spacing w:before="100" w:beforeAutospacing="1" w:after="0"/>
        <w:jc w:val="both"/>
        <w:rPr>
          <w:lang w:val="en-US"/>
        </w:rPr>
      </w:pPr>
      <w:r w:rsidRPr="00526D1C">
        <w:rPr>
          <w:lang w:val="en-US"/>
        </w:rPr>
        <w:t>ensure that the final beneficiaries</w:t>
      </w:r>
      <w:r>
        <w:rPr>
          <w:lang w:val="en-US"/>
        </w:rPr>
        <w:t xml:space="preserve">/participants </w:t>
      </w:r>
      <w:r w:rsidRPr="00526D1C">
        <w:rPr>
          <w:lang w:val="en-US"/>
        </w:rPr>
        <w:t>are not on the sanctions list of Ukraine, the EU</w:t>
      </w:r>
      <w:r w:rsidR="00525C7E">
        <w:rPr>
          <w:lang w:val="en-US"/>
        </w:rPr>
        <w:t>, the UN</w:t>
      </w:r>
      <w:r>
        <w:rPr>
          <w:lang w:val="en-US"/>
        </w:rPr>
        <w:t>;</w:t>
      </w:r>
    </w:p>
    <w:p w14:paraId="16E9E924" w14:textId="5B185994" w:rsidR="00526D1C" w:rsidRDefault="00526D1C" w:rsidP="00696913">
      <w:pPr>
        <w:numPr>
          <w:ilvl w:val="0"/>
          <w:numId w:val="6"/>
        </w:numPr>
        <w:spacing w:before="100" w:beforeAutospacing="1" w:after="0"/>
        <w:jc w:val="both"/>
        <w:rPr>
          <w:lang w:val="en-US"/>
        </w:rPr>
      </w:pPr>
      <w:r w:rsidRPr="00526D1C">
        <w:rPr>
          <w:lang w:val="en-US"/>
        </w:rPr>
        <w:t>not be in the process of termination;</w:t>
      </w:r>
    </w:p>
    <w:p w14:paraId="4A146174" w14:textId="48D56A99" w:rsidR="00526D1C" w:rsidRDefault="00526D1C" w:rsidP="00696913">
      <w:pPr>
        <w:numPr>
          <w:ilvl w:val="0"/>
          <w:numId w:val="6"/>
        </w:numPr>
        <w:spacing w:before="100" w:beforeAutospacing="1" w:after="0"/>
        <w:jc w:val="both"/>
        <w:rPr>
          <w:lang w:val="en-US"/>
        </w:rPr>
      </w:pPr>
      <w:r>
        <w:rPr>
          <w:lang w:val="en-US"/>
        </w:rPr>
        <w:t xml:space="preserve">not be </w:t>
      </w:r>
      <w:r w:rsidR="00B8256A">
        <w:rPr>
          <w:lang w:val="en-US"/>
        </w:rPr>
        <w:t>registered</w:t>
      </w:r>
      <w:r>
        <w:rPr>
          <w:lang w:val="en-US"/>
        </w:rPr>
        <w:t xml:space="preserve"> </w:t>
      </w:r>
      <w:r w:rsidR="00B8256A" w:rsidRPr="00100B49">
        <w:rPr>
          <w:rFonts w:cs="Arial"/>
          <w:lang w:val="en-US"/>
        </w:rPr>
        <w:t xml:space="preserve">on </w:t>
      </w:r>
      <w:r w:rsidR="00B8256A" w:rsidRPr="36F3D03C">
        <w:rPr>
          <w:rFonts w:cs="Arial"/>
          <w:lang w:val="en-US"/>
        </w:rPr>
        <w:t>temporary occupied</w:t>
      </w:r>
      <w:r w:rsidR="00B8256A" w:rsidRPr="00100B49">
        <w:rPr>
          <w:rFonts w:cs="Arial"/>
          <w:lang w:val="en-US"/>
        </w:rPr>
        <w:t xml:space="preserve"> territories of Ukraine</w:t>
      </w:r>
      <w:r w:rsidR="000F2157">
        <w:rPr>
          <w:lang w:val="en-US"/>
        </w:rPr>
        <w:t xml:space="preserve">; </w:t>
      </w:r>
    </w:p>
    <w:p w14:paraId="60435E2E" w14:textId="7F9CF47C" w:rsidR="007B1CC2" w:rsidRPr="00526D1C" w:rsidRDefault="007B1CC2" w:rsidP="00696913">
      <w:pPr>
        <w:numPr>
          <w:ilvl w:val="0"/>
          <w:numId w:val="6"/>
        </w:numPr>
        <w:spacing w:before="100" w:beforeAutospacing="1" w:after="0"/>
        <w:jc w:val="both"/>
        <w:rPr>
          <w:lang w:val="uk-UA"/>
        </w:rPr>
      </w:pPr>
      <w:r w:rsidRPr="007B1CC2">
        <w:rPr>
          <w:lang w:val="en-US"/>
        </w:rPr>
        <w:t xml:space="preserve">not </w:t>
      </w:r>
      <w:r>
        <w:rPr>
          <w:lang w:val="en-US"/>
        </w:rPr>
        <w:t xml:space="preserve">have </w:t>
      </w:r>
      <w:r w:rsidRPr="007B1CC2">
        <w:rPr>
          <w:lang w:val="uk-UA"/>
        </w:rPr>
        <w:t xml:space="preserve">the ultimate beneficial owner, member or participant (shareholder), having a share in the authorized capital of 10 percent or more, which is the Russian Federation, </w:t>
      </w:r>
      <w:r w:rsidR="00D26B8B">
        <w:rPr>
          <w:rFonts w:cs="Arial"/>
          <w:lang w:val="en-US"/>
        </w:rPr>
        <w:t xml:space="preserve">the Republic of Belarus, </w:t>
      </w:r>
      <w:r w:rsidR="00D26B8B" w:rsidRPr="001A4190">
        <w:rPr>
          <w:rFonts w:cs="Arial"/>
          <w:lang w:val="en-US"/>
        </w:rPr>
        <w:t>the Islamic Republic of Iran</w:t>
      </w:r>
      <w:r w:rsidR="00D26B8B">
        <w:rPr>
          <w:rFonts w:cs="Arial"/>
          <w:lang w:val="en-US"/>
        </w:rPr>
        <w:t>,</w:t>
      </w:r>
      <w:r w:rsidR="00D26B8B" w:rsidRPr="007B1CC2">
        <w:rPr>
          <w:lang w:val="uk-UA"/>
        </w:rPr>
        <w:t xml:space="preserve"> </w:t>
      </w:r>
      <w:r w:rsidRPr="007B1CC2">
        <w:rPr>
          <w:lang w:val="uk-UA"/>
        </w:rPr>
        <w:t xml:space="preserve">a citizen of the Russian Federation, </w:t>
      </w:r>
      <w:r w:rsidR="00D26B8B">
        <w:rPr>
          <w:rFonts w:cs="Arial"/>
          <w:lang w:val="en-US"/>
        </w:rPr>
        <w:t xml:space="preserve">the Republic of Belarus, </w:t>
      </w:r>
      <w:r w:rsidR="00D26B8B" w:rsidRPr="001A4190">
        <w:rPr>
          <w:rFonts w:cs="Arial"/>
          <w:lang w:val="en-US"/>
        </w:rPr>
        <w:t>the Islamic Republic of Iran</w:t>
      </w:r>
      <w:r w:rsidR="00D26B8B" w:rsidRPr="007B1CC2">
        <w:rPr>
          <w:lang w:val="uk-UA"/>
        </w:rPr>
        <w:t xml:space="preserve"> </w:t>
      </w:r>
      <w:r w:rsidRPr="007B1CC2">
        <w:rPr>
          <w:lang w:val="uk-UA"/>
        </w:rPr>
        <w:t>except for those who live on the territory of Ukraine on legal grounds, or a legal entity created and registered in accordance with the legislation of the Russian Federation</w:t>
      </w:r>
      <w:r w:rsidR="00D26B8B">
        <w:rPr>
          <w:lang w:val="en-US"/>
        </w:rPr>
        <w:t xml:space="preserve">, </w:t>
      </w:r>
      <w:r w:rsidR="00D26B8B">
        <w:rPr>
          <w:rFonts w:cs="Arial"/>
          <w:lang w:val="en-US"/>
        </w:rPr>
        <w:t xml:space="preserve">the Republic of Belarus, </w:t>
      </w:r>
      <w:r w:rsidR="00D26B8B" w:rsidRPr="001A4190">
        <w:rPr>
          <w:rFonts w:cs="Arial"/>
          <w:lang w:val="en-US"/>
        </w:rPr>
        <w:t>the Islamic Republic of Iran</w:t>
      </w:r>
      <w:r>
        <w:rPr>
          <w:lang w:val="uk-UA"/>
        </w:rPr>
        <w:t xml:space="preserve">. </w:t>
      </w:r>
    </w:p>
    <w:bookmarkEnd w:id="112"/>
    <w:p w14:paraId="673E6863" w14:textId="16E703CA" w:rsidR="008F14EA" w:rsidRDefault="008F14EA" w:rsidP="003D31E7">
      <w:pPr>
        <w:pStyle w:val="ListParagraph"/>
        <w:ind w:left="0"/>
        <w:jc w:val="both"/>
        <w:rPr>
          <w:rFonts w:eastAsia="Arial" w:cs="Arial"/>
          <w:lang w:val="en-US"/>
        </w:rPr>
      </w:pPr>
      <w:r w:rsidRPr="00127D3B">
        <w:rPr>
          <w:rFonts w:eastAsia="Arial" w:cs="Arial"/>
          <w:lang w:val="en-US"/>
        </w:rPr>
        <w:t>GIZ reserves the right to verify th</w:t>
      </w:r>
      <w:r w:rsidR="00D26B8B">
        <w:rPr>
          <w:rFonts w:eastAsia="Arial" w:cs="Arial"/>
          <w:lang w:val="en-US"/>
        </w:rPr>
        <w:t>e</w:t>
      </w:r>
      <w:r w:rsidRPr="00127D3B">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3063C87C" w14:textId="77777777" w:rsidR="00C11BF6" w:rsidRDefault="00C11BF6" w:rsidP="003D31E7">
      <w:pPr>
        <w:pStyle w:val="ListParagraph"/>
        <w:ind w:left="0"/>
        <w:jc w:val="both"/>
        <w:rPr>
          <w:rFonts w:eastAsia="Arial" w:cs="Arial"/>
          <w:lang w:val="uk-UA"/>
        </w:rPr>
      </w:pPr>
    </w:p>
    <w:p w14:paraId="30215376" w14:textId="204C425A" w:rsidR="008261A9" w:rsidRPr="00365F06" w:rsidRDefault="008261A9" w:rsidP="00696913">
      <w:pPr>
        <w:pStyle w:val="ListParagraph"/>
        <w:numPr>
          <w:ilvl w:val="0"/>
          <w:numId w:val="5"/>
        </w:numPr>
        <w:ind w:left="0" w:firstLine="0"/>
        <w:jc w:val="both"/>
        <w:rPr>
          <w:rStyle w:val="ZulschenderTextZchn"/>
        </w:rPr>
      </w:pPr>
      <w:bookmarkStart w:id="113" w:name="_Toc127948129"/>
      <w:bookmarkStart w:id="114" w:name="_Toc127948130"/>
      <w:bookmarkStart w:id="115" w:name="_Toc127948131"/>
      <w:bookmarkStart w:id="116" w:name="_Toc127948132"/>
      <w:bookmarkStart w:id="117" w:name="_Toc127948133"/>
      <w:bookmarkStart w:id="118" w:name="_Toc127948134"/>
      <w:bookmarkStart w:id="119" w:name="_Toc127948135"/>
      <w:bookmarkStart w:id="120" w:name="_Toc508620020"/>
      <w:bookmarkStart w:id="121" w:name="_Toc119493867"/>
      <w:bookmarkStart w:id="122" w:name="_Toc127948141"/>
      <w:bookmarkStart w:id="123" w:name="_Hlk156141098"/>
      <w:bookmarkEnd w:id="113"/>
      <w:bookmarkEnd w:id="114"/>
      <w:bookmarkEnd w:id="115"/>
      <w:bookmarkEnd w:id="116"/>
      <w:bookmarkEnd w:id="117"/>
      <w:bookmarkEnd w:id="118"/>
      <w:bookmarkEnd w:id="119"/>
      <w:r w:rsidRPr="00365F06">
        <w:rPr>
          <w:b/>
        </w:rPr>
        <w:t>Annexes</w:t>
      </w:r>
      <w:bookmarkEnd w:id="120"/>
      <w:bookmarkEnd w:id="121"/>
      <w:bookmarkEnd w:id="122"/>
      <w:r w:rsidR="00FF5247">
        <w:t xml:space="preserve"> </w:t>
      </w:r>
    </w:p>
    <w:p w14:paraId="4FCC39D2" w14:textId="28D415F0" w:rsidR="001973B3" w:rsidRPr="00C11BF6" w:rsidRDefault="007A28C0" w:rsidP="00696913">
      <w:pPr>
        <w:pStyle w:val="ZwischenberschriftmitAbstand"/>
        <w:numPr>
          <w:ilvl w:val="0"/>
          <w:numId w:val="1"/>
        </w:numPr>
        <w:ind w:left="357" w:hanging="357"/>
        <w:contextualSpacing/>
        <w:jc w:val="both"/>
      </w:pPr>
      <w:r w:rsidRPr="00C11BF6">
        <w:t xml:space="preserve">Annex 1 – Travel regulations </w:t>
      </w:r>
    </w:p>
    <w:p w14:paraId="2316B451" w14:textId="77777777" w:rsidR="0085331D" w:rsidRDefault="0085331D" w:rsidP="00D93EF8">
      <w:pPr>
        <w:spacing w:after="160" w:line="259" w:lineRule="auto"/>
        <w:jc w:val="both"/>
      </w:pPr>
      <w:bookmarkStart w:id="124" w:name="_Hlk156141117"/>
      <w:bookmarkEnd w:id="123"/>
      <w:r>
        <w:br w:type="page"/>
      </w:r>
    </w:p>
    <w:p w14:paraId="08621D26" w14:textId="31DEBBBD" w:rsidR="009C1873" w:rsidRPr="00D93EF8" w:rsidRDefault="009C1873" w:rsidP="00D93EF8">
      <w:pPr>
        <w:pStyle w:val="ListParagraph"/>
        <w:ind w:left="0"/>
        <w:jc w:val="both"/>
        <w:rPr>
          <w:i/>
          <w:color w:val="E36C0A"/>
        </w:rPr>
      </w:pPr>
      <w:r w:rsidRPr="00D93EF8">
        <w:rPr>
          <w:b/>
          <w:bCs/>
        </w:rPr>
        <w:lastRenderedPageBreak/>
        <w:t>Annex 1 Travel regulations</w:t>
      </w:r>
      <w:r w:rsidR="006A0248" w:rsidRPr="00D93EF8">
        <w:rPr>
          <w:b/>
          <w:bCs/>
        </w:rPr>
        <w:t xml:space="preserve"> (hereinafter – Regulations)</w:t>
      </w:r>
      <w:r w:rsidRPr="00D93EF8">
        <w:rPr>
          <w:b/>
          <w:bCs/>
        </w:rPr>
        <w:t xml:space="preserve"> </w:t>
      </w:r>
    </w:p>
    <w:tbl>
      <w:tblPr>
        <w:tblStyle w:val="TableGrid"/>
        <w:tblW w:w="9493" w:type="dxa"/>
        <w:tblLook w:val="04A0" w:firstRow="1" w:lastRow="0" w:firstColumn="1" w:lastColumn="0" w:noHBand="0" w:noVBand="1"/>
      </w:tblPr>
      <w:tblGrid>
        <w:gridCol w:w="9493"/>
      </w:tblGrid>
      <w:tr w:rsidR="00671DF9" w:rsidRPr="002B6D64" w14:paraId="59779E10" w14:textId="77777777" w:rsidTr="00EC00E1">
        <w:tc>
          <w:tcPr>
            <w:tcW w:w="9493" w:type="dxa"/>
          </w:tcPr>
          <w:p w14:paraId="4A5F1A67" w14:textId="77777777" w:rsidR="00671DF9" w:rsidRPr="002B6D64" w:rsidRDefault="00671DF9" w:rsidP="00EC00E1">
            <w:pPr>
              <w:pStyle w:val="NoSpacing"/>
              <w:jc w:val="both"/>
              <w:rPr>
                <w:rFonts w:cs="Arial"/>
                <w:sz w:val="22"/>
                <w:szCs w:val="22"/>
              </w:rPr>
            </w:pPr>
            <w:r w:rsidRPr="002B6D64">
              <w:rPr>
                <w:rStyle w:val="Bodytext2"/>
                <w:sz w:val="22"/>
                <w:szCs w:val="22"/>
              </w:rPr>
              <w:t>1.Business trips of experts/consultants</w:t>
            </w:r>
          </w:p>
          <w:p w14:paraId="3D84CAD8" w14:textId="77777777" w:rsidR="00671DF9" w:rsidRPr="002B6D64" w:rsidRDefault="00671DF9" w:rsidP="00EC00E1">
            <w:pPr>
              <w:jc w:val="both"/>
              <w:rPr>
                <w:rStyle w:val="Bodytext29pt"/>
                <w:b w:val="0"/>
                <w:sz w:val="22"/>
                <w:szCs w:val="22"/>
                <w:lang w:val="en-US"/>
              </w:rPr>
            </w:pPr>
            <w:r w:rsidRPr="002B6D64">
              <w:rPr>
                <w:rStyle w:val="Bodytext29pt"/>
                <w:b w:val="0"/>
                <w:sz w:val="22"/>
                <w:szCs w:val="22"/>
                <w:lang w:val="en-US"/>
              </w:rPr>
              <w:t xml:space="preserve">All experts/consultants who are travelling on behalf of and commissioned by GIZ should use these Travel regulations for </w:t>
            </w:r>
            <w:r w:rsidRPr="002B6D64">
              <w:rPr>
                <w:rStyle w:val="Bodytext29pt"/>
                <w:b w:val="0"/>
                <w:bCs w:val="0"/>
                <w:sz w:val="22"/>
                <w:szCs w:val="22"/>
                <w:lang w:val="en-US"/>
              </w:rPr>
              <w:t>calculation</w:t>
            </w:r>
            <w:r w:rsidRPr="002B6D64">
              <w:rPr>
                <w:rStyle w:val="Bodytext29pt"/>
                <w:b w:val="0"/>
                <w:sz w:val="22"/>
                <w:szCs w:val="22"/>
                <w:lang w:val="en-US"/>
              </w:rPr>
              <w:t xml:space="preserve"> and compensation of </w:t>
            </w:r>
            <w:r w:rsidRPr="002B6D64">
              <w:rPr>
                <w:rStyle w:val="Bodytext29pt"/>
                <w:b w:val="0"/>
                <w:bCs w:val="0"/>
                <w:sz w:val="22"/>
                <w:szCs w:val="22"/>
                <w:lang w:val="en-US"/>
              </w:rPr>
              <w:t>costs if</w:t>
            </w:r>
            <w:r w:rsidRPr="002B6D64">
              <w:rPr>
                <w:rStyle w:val="Bodytext29pt"/>
                <w:b w:val="0"/>
                <w:sz w:val="22"/>
                <w:szCs w:val="22"/>
                <w:lang w:val="en-US"/>
              </w:rPr>
              <w:t xml:space="preserve"> these costs are stipulated in the Contract. For the claim of travel expenses, the experts/consultants must submit documents according to the terms of the Regulations, unless otherwise is expressly stated in the Contract.</w:t>
            </w:r>
          </w:p>
          <w:p w14:paraId="2A6689C0" w14:textId="77777777" w:rsidR="00671DF9" w:rsidRPr="002B6D64" w:rsidRDefault="00671DF9" w:rsidP="00EC00E1">
            <w:pPr>
              <w:jc w:val="both"/>
              <w:rPr>
                <w:rFonts w:cs="Arial"/>
                <w:sz w:val="22"/>
                <w:szCs w:val="22"/>
                <w:lang w:val="uk-UA"/>
              </w:rPr>
            </w:pPr>
            <w:r w:rsidRPr="00EC00E1">
              <w:rPr>
                <w:rFonts w:cs="Arial"/>
                <w:sz w:val="22"/>
                <w:szCs w:val="22"/>
                <w:lang w:val="uk-UA"/>
              </w:rPr>
              <w:t>Compensation of travel expenses is carried out exclusively within the limits of the amounts for individual items fixed in the Contract.</w:t>
            </w:r>
          </w:p>
          <w:p w14:paraId="3ABF56F4" w14:textId="77777777" w:rsidR="00671DF9" w:rsidRPr="002B6D64" w:rsidRDefault="00671DF9" w:rsidP="00EC00E1">
            <w:pPr>
              <w:jc w:val="both"/>
              <w:rPr>
                <w:rFonts w:cs="Arial"/>
                <w:sz w:val="22"/>
                <w:szCs w:val="22"/>
              </w:rPr>
            </w:pPr>
            <w:r w:rsidRPr="00EC00E1">
              <w:rPr>
                <w:rFonts w:cs="Arial"/>
                <w:sz w:val="22"/>
                <w:szCs w:val="22"/>
              </w:rPr>
              <w:t>Payment of advances for business trips is possible only if it is expressly stated in the Contract.</w:t>
            </w:r>
          </w:p>
        </w:tc>
      </w:tr>
      <w:tr w:rsidR="00671DF9" w:rsidRPr="002B6D64" w14:paraId="0B5967D4" w14:textId="77777777" w:rsidTr="00EC00E1">
        <w:tc>
          <w:tcPr>
            <w:tcW w:w="9493" w:type="dxa"/>
          </w:tcPr>
          <w:p w14:paraId="5CF7BA55" w14:textId="77777777" w:rsidR="00671DF9" w:rsidRPr="002B6D64" w:rsidRDefault="00671DF9" w:rsidP="00EC00E1">
            <w:pPr>
              <w:spacing w:line="226" w:lineRule="exact"/>
              <w:jc w:val="both"/>
              <w:rPr>
                <w:rFonts w:cs="Arial"/>
                <w:sz w:val="22"/>
                <w:szCs w:val="22"/>
                <w:lang w:val="en-US"/>
              </w:rPr>
            </w:pPr>
            <w:r w:rsidRPr="002B6D64">
              <w:rPr>
                <w:rStyle w:val="Bodytext2"/>
                <w:sz w:val="22"/>
                <w:szCs w:val="22"/>
                <w:lang w:val="en-US"/>
              </w:rPr>
              <w:t>2. Definition of a business trip</w:t>
            </w:r>
          </w:p>
          <w:p w14:paraId="26B425A6" w14:textId="77777777" w:rsidR="00671DF9" w:rsidRPr="002B6D64" w:rsidRDefault="00671DF9" w:rsidP="00EC00E1">
            <w:pPr>
              <w:spacing w:line="226" w:lineRule="exact"/>
              <w:jc w:val="both"/>
              <w:rPr>
                <w:rFonts w:cs="Arial"/>
                <w:b/>
                <w:sz w:val="22"/>
                <w:szCs w:val="22"/>
                <w:lang w:val="en-US"/>
              </w:rPr>
            </w:pPr>
            <w:r w:rsidRPr="002B6D64">
              <w:rPr>
                <w:rStyle w:val="Bodytext29pt"/>
                <w:b w:val="0"/>
                <w:sz w:val="22"/>
                <w:szCs w:val="22"/>
                <w:lang w:val="en-US"/>
              </w:rPr>
              <w:t>A business trip, as defined by the GIZ’ general regulations governing the reimbursement of travel expense and accommodation, involves an expert/consultant temporarily working at a place other than his/her regular domicile and/or seat of business to conduct official business with GIZ's approval.</w:t>
            </w:r>
          </w:p>
          <w:p w14:paraId="681511D1" w14:textId="77777777" w:rsidR="00671DF9" w:rsidRPr="002B6D64" w:rsidRDefault="00671DF9" w:rsidP="00EC00E1">
            <w:pPr>
              <w:jc w:val="both"/>
              <w:rPr>
                <w:rFonts w:cs="Arial"/>
                <w:sz w:val="22"/>
                <w:szCs w:val="22"/>
                <w:lang w:val="en-US"/>
              </w:rPr>
            </w:pPr>
            <w:r w:rsidRPr="002B6D64">
              <w:rPr>
                <w:rStyle w:val="Bodytext29pt"/>
                <w:b w:val="0"/>
                <w:sz w:val="22"/>
                <w:szCs w:val="22"/>
                <w:lang w:val="en-US"/>
              </w:rPr>
              <w:t>The duration of a business trip (period of absence) shall be calculated as the time between departure from the place of residence or the principal place of work at the start of the business trip and the return to any of the above-mentioned places on completion of the business trip.</w:t>
            </w:r>
          </w:p>
        </w:tc>
      </w:tr>
      <w:tr w:rsidR="00671DF9" w:rsidRPr="002B6D64" w14:paraId="4CBC1055" w14:textId="77777777" w:rsidTr="00EC00E1">
        <w:tc>
          <w:tcPr>
            <w:tcW w:w="9493" w:type="dxa"/>
          </w:tcPr>
          <w:p w14:paraId="7FF0EEE0" w14:textId="77777777" w:rsidR="00671DF9" w:rsidRPr="003B72A8" w:rsidRDefault="00671DF9" w:rsidP="00EC00E1">
            <w:pPr>
              <w:spacing w:line="226" w:lineRule="exact"/>
              <w:jc w:val="both"/>
              <w:rPr>
                <w:rFonts w:cs="Arial"/>
                <w:sz w:val="22"/>
                <w:szCs w:val="22"/>
                <w:lang w:val="en-US"/>
              </w:rPr>
            </w:pPr>
            <w:r w:rsidRPr="003B72A8">
              <w:rPr>
                <w:rStyle w:val="Bodytext2"/>
                <w:sz w:val="22"/>
                <w:szCs w:val="22"/>
                <w:lang w:val="en-US"/>
              </w:rPr>
              <w:t>3. Accommodation allowance</w:t>
            </w:r>
          </w:p>
          <w:p w14:paraId="1EBCA27D" w14:textId="77777777" w:rsidR="00671DF9" w:rsidRPr="003B72A8" w:rsidRDefault="00671DF9" w:rsidP="00EC00E1">
            <w:pPr>
              <w:tabs>
                <w:tab w:val="left" w:pos="1008"/>
              </w:tabs>
              <w:jc w:val="both"/>
              <w:rPr>
                <w:rStyle w:val="Bodytext29pt"/>
                <w:b w:val="0"/>
                <w:sz w:val="22"/>
                <w:szCs w:val="22"/>
              </w:rPr>
            </w:pPr>
            <w:r w:rsidRPr="003B72A8">
              <w:rPr>
                <w:rStyle w:val="Bodytext29pt"/>
                <w:b w:val="0"/>
                <w:sz w:val="22"/>
                <w:szCs w:val="22"/>
                <w:lang w:val="en-GB"/>
              </w:rPr>
              <w:t>Overnight accommodation costs are reimbursed to the extent agreed in the Contract against proof of performance (in case of using lump sum) or against presentation of evidence (based on original financial documents). Limits for overnight accommodation shall be stipulated in the Contract. Hotel reservations are made by an expert/consultant by himself/herself. For accommodation during business trips room category not higher than Standard (or equal) is to be booked, unless otherwise is expressly stated in the Contract. Overnight accommodation costs during domestic and international business trips shall not be reimbursed for business trips to a place of residence during which the expert/consultant stays in his/her own home or place where he/she maintains his/her own household.</w:t>
            </w:r>
          </w:p>
          <w:p w14:paraId="3769279C" w14:textId="77777777" w:rsidR="00511F2D" w:rsidRPr="00757BB9" w:rsidRDefault="00511F2D" w:rsidP="00511F2D">
            <w:pPr>
              <w:tabs>
                <w:tab w:val="left" w:pos="1008"/>
              </w:tabs>
              <w:jc w:val="both"/>
              <w:rPr>
                <w:rStyle w:val="Bodytext29pt"/>
                <w:color w:val="auto"/>
                <w:lang w:val="en-US"/>
              </w:rPr>
            </w:pPr>
            <w:r w:rsidRPr="00757BB9">
              <w:rPr>
                <w:rStyle w:val="Bodytext29pt"/>
                <w:color w:val="auto"/>
                <w:lang w:val="en-US"/>
              </w:rPr>
              <w:t>Contractor should provide the following documents for specific reimbursement type:</w:t>
            </w:r>
          </w:p>
          <w:p w14:paraId="590916C9" w14:textId="101E53DB" w:rsidR="00511F2D" w:rsidRPr="003B72A8" w:rsidRDefault="00511F2D" w:rsidP="00511F2D">
            <w:pPr>
              <w:tabs>
                <w:tab w:val="left" w:pos="1008"/>
              </w:tabs>
              <w:jc w:val="both"/>
              <w:rPr>
                <w:rFonts w:cs="Arial"/>
                <w:b/>
                <w:sz w:val="22"/>
                <w:szCs w:val="22"/>
                <w:lang w:val="uk-UA"/>
              </w:rPr>
            </w:pPr>
            <w:r w:rsidRPr="00757BB9">
              <w:rPr>
                <w:rStyle w:val="Bodytext29pt"/>
                <w:color w:val="auto"/>
              </w:rPr>
              <w:t xml:space="preserve">Against </w:t>
            </w:r>
            <w:r w:rsidRPr="00757BB9">
              <w:rPr>
                <w:rStyle w:val="Bodytext29pt"/>
                <w:color w:val="auto"/>
                <w:lang w:val="en-US"/>
              </w:rPr>
              <w:t>e</w:t>
            </w:r>
            <w:r w:rsidRPr="00757BB9">
              <w:rPr>
                <w:rStyle w:val="Bodytext29pt"/>
                <w:color w:val="auto"/>
              </w:rPr>
              <w:t>vidance</w:t>
            </w:r>
            <w:r w:rsidRPr="00757BB9">
              <w:rPr>
                <w:rStyle w:val="Bodytext29pt"/>
                <w:color w:val="auto"/>
                <w:lang w:val="en-US"/>
              </w:rPr>
              <w:t xml:space="preserve"> – c</w:t>
            </w:r>
            <w:r w:rsidRPr="00757BB9">
              <w:rPr>
                <w:rStyle w:val="Bodytext29pt"/>
                <w:color w:val="auto"/>
              </w:rPr>
              <w:t xml:space="preserve">opy of the original invoice from the hotel or other actual service provider with period of stay, names of </w:t>
            </w:r>
            <w:r w:rsidRPr="00757BB9">
              <w:rPr>
                <w:rStyle w:val="Bodytext29pt"/>
                <w:color w:val="auto"/>
                <w:lang w:val="en-US"/>
              </w:rPr>
              <w:t>guests</w:t>
            </w:r>
            <w:r w:rsidRPr="00757BB9">
              <w:rPr>
                <w:rStyle w:val="Bodytext29pt"/>
                <w:color w:val="auto"/>
              </w:rPr>
              <w:t>, type and number of rooms, price per night, total amount, meals</w:t>
            </w:r>
            <w:r w:rsidRPr="00757BB9">
              <w:rPr>
                <w:rStyle w:val="Bodytext29pt"/>
                <w:color w:val="auto"/>
                <w:lang w:val="en-US"/>
              </w:rPr>
              <w:t xml:space="preserve"> (if included)</w:t>
            </w:r>
            <w:r w:rsidRPr="00757BB9">
              <w:rPr>
                <w:rStyle w:val="Bodytext29pt"/>
                <w:color w:val="auto"/>
              </w:rPr>
              <w:t>. (Service fee of booking platforms is not to be reimbursed).</w:t>
            </w:r>
          </w:p>
        </w:tc>
      </w:tr>
      <w:tr w:rsidR="00671DF9" w:rsidRPr="002B6D64" w14:paraId="1D3965C5" w14:textId="77777777" w:rsidTr="00EC00E1">
        <w:tc>
          <w:tcPr>
            <w:tcW w:w="9493" w:type="dxa"/>
          </w:tcPr>
          <w:p w14:paraId="576372D6" w14:textId="1B31761A" w:rsidR="00555DDF" w:rsidRPr="003B72A8" w:rsidRDefault="00671DF9" w:rsidP="00623AEE">
            <w:pPr>
              <w:spacing w:line="226" w:lineRule="exact"/>
              <w:jc w:val="both"/>
              <w:rPr>
                <w:rFonts w:eastAsia="Arial" w:cs="Arial"/>
                <w:color w:val="000000"/>
                <w:sz w:val="22"/>
                <w:szCs w:val="22"/>
                <w:lang w:val="uk-UA" w:eastAsia="uk-UA" w:bidi="uk-UA"/>
              </w:rPr>
            </w:pPr>
            <w:r w:rsidRPr="003B72A8">
              <w:rPr>
                <w:rStyle w:val="Bodytext2"/>
                <w:sz w:val="22"/>
                <w:szCs w:val="22"/>
                <w:lang w:val="en-US"/>
              </w:rPr>
              <w:t>4. Per diem allowance</w:t>
            </w:r>
            <w:r w:rsidR="00623AEE">
              <w:rPr>
                <w:rStyle w:val="Bodytext2"/>
                <w:sz w:val="22"/>
                <w:szCs w:val="22"/>
                <w:lang w:val="en-US"/>
              </w:rPr>
              <w:t xml:space="preserve"> </w:t>
            </w:r>
            <w:r w:rsidR="00555DDF" w:rsidRPr="00757BB9">
              <w:rPr>
                <w:rStyle w:val="Bodytext29pt"/>
                <w:color w:val="auto"/>
                <w:lang w:val="en-US"/>
              </w:rPr>
              <w:t>– not applicable</w:t>
            </w:r>
          </w:p>
        </w:tc>
      </w:tr>
      <w:tr w:rsidR="00671DF9" w:rsidRPr="002B6D64" w14:paraId="6F80512A" w14:textId="77777777" w:rsidTr="00EC00E1">
        <w:tc>
          <w:tcPr>
            <w:tcW w:w="9493" w:type="dxa"/>
          </w:tcPr>
          <w:p w14:paraId="3E01EADE" w14:textId="77777777" w:rsidR="00671DF9" w:rsidRPr="003B72A8" w:rsidRDefault="00671DF9" w:rsidP="00EC00E1">
            <w:pPr>
              <w:spacing w:line="226" w:lineRule="exact"/>
              <w:jc w:val="both"/>
              <w:rPr>
                <w:rFonts w:cs="Arial"/>
                <w:sz w:val="22"/>
                <w:szCs w:val="22"/>
                <w:lang w:val="en-US"/>
              </w:rPr>
            </w:pPr>
            <w:r w:rsidRPr="003B72A8">
              <w:rPr>
                <w:rStyle w:val="Bodytext2"/>
                <w:sz w:val="22"/>
                <w:szCs w:val="22"/>
                <w:lang w:val="en-US"/>
              </w:rPr>
              <w:t>5. Currency of reimbursement of travel expenses</w:t>
            </w:r>
          </w:p>
          <w:p w14:paraId="6A9C183E" w14:textId="77777777" w:rsidR="00671DF9" w:rsidRPr="003B72A8" w:rsidRDefault="00671DF9" w:rsidP="00EC00E1">
            <w:pPr>
              <w:spacing w:line="226" w:lineRule="exact"/>
              <w:jc w:val="both"/>
              <w:rPr>
                <w:rStyle w:val="Bodytext29pt"/>
                <w:b w:val="0"/>
                <w:sz w:val="22"/>
                <w:szCs w:val="22"/>
                <w:lang w:val="en-US"/>
              </w:rPr>
            </w:pPr>
            <w:r w:rsidRPr="003B72A8">
              <w:rPr>
                <w:rStyle w:val="Bodytext29pt"/>
                <w:b w:val="0"/>
                <w:sz w:val="22"/>
                <w:szCs w:val="22"/>
                <w:lang w:val="en-US"/>
              </w:rPr>
              <w:t xml:space="preserve">Reimbursements of costs of business trips within Ukraine are paid in Ukrainian Hryvnia (UAH). </w:t>
            </w:r>
          </w:p>
          <w:p w14:paraId="015AFB50" w14:textId="77777777" w:rsidR="00671DF9" w:rsidRPr="003B72A8" w:rsidRDefault="00671DF9" w:rsidP="00EC00E1">
            <w:pPr>
              <w:spacing w:line="226" w:lineRule="exact"/>
              <w:jc w:val="both"/>
              <w:rPr>
                <w:rStyle w:val="Bodytext29pt"/>
                <w:b w:val="0"/>
                <w:sz w:val="22"/>
                <w:szCs w:val="22"/>
                <w:lang w:val="en-GB"/>
              </w:rPr>
            </w:pPr>
            <w:r w:rsidRPr="003B72A8">
              <w:rPr>
                <w:rStyle w:val="Bodytext29pt"/>
                <w:b w:val="0"/>
                <w:sz w:val="22"/>
                <w:szCs w:val="22"/>
                <w:lang w:val="en-GB"/>
              </w:rPr>
              <w:t xml:space="preserve">Reimbursements of costs of international business trips are paid in Ukrainian Hryvnia (UAH). Reimbursement of travel expenses in foreign currency (not UAH) must be made according to </w:t>
            </w:r>
            <w:r w:rsidRPr="003B72A8">
              <w:rPr>
                <w:rStyle w:val="Bodytext29pt"/>
                <w:b w:val="0"/>
                <w:bCs w:val="0"/>
                <w:sz w:val="22"/>
                <w:szCs w:val="22"/>
                <w:lang w:val="en-GB"/>
              </w:rPr>
              <w:t>below mentioned</w:t>
            </w:r>
            <w:r w:rsidRPr="003B72A8">
              <w:rPr>
                <w:rStyle w:val="Bodytext29pt"/>
                <w:b w:val="0"/>
                <w:sz w:val="22"/>
                <w:szCs w:val="22"/>
                <w:lang w:val="en-GB"/>
              </w:rPr>
              <w:t xml:space="preserve">: </w:t>
            </w:r>
          </w:p>
          <w:p w14:paraId="1A67D80C" w14:textId="77777777" w:rsidR="00671DF9" w:rsidRPr="003B72A8" w:rsidRDefault="00671DF9" w:rsidP="00EC00E1">
            <w:pPr>
              <w:spacing w:line="226" w:lineRule="exact"/>
              <w:jc w:val="both"/>
              <w:rPr>
                <w:rStyle w:val="Bodytext29pt"/>
                <w:b w:val="0"/>
                <w:color w:val="FF0000"/>
                <w:sz w:val="22"/>
                <w:szCs w:val="22"/>
                <w:lang w:val="en-GB"/>
              </w:rPr>
            </w:pPr>
            <w:r w:rsidRPr="003B72A8">
              <w:rPr>
                <w:rStyle w:val="Bodytext29pt"/>
                <w:b w:val="0"/>
                <w:sz w:val="22"/>
                <w:szCs w:val="22"/>
                <w:lang w:val="en-GB"/>
              </w:rPr>
              <w:t xml:space="preserve">a) in accordance with </w:t>
            </w:r>
            <w:r w:rsidRPr="003B72A8">
              <w:rPr>
                <w:rStyle w:val="Bodytext29pt"/>
                <w:b w:val="0"/>
                <w:bCs w:val="0"/>
                <w:sz w:val="22"/>
                <w:szCs w:val="22"/>
                <w:lang w:val="en-GB"/>
              </w:rPr>
              <w:t>the exchange</w:t>
            </w:r>
            <w:r w:rsidRPr="003B72A8">
              <w:rPr>
                <w:rStyle w:val="Bodytext29pt"/>
                <w:b w:val="0"/>
                <w:sz w:val="22"/>
                <w:szCs w:val="22"/>
                <w:lang w:val="en-GB"/>
              </w:rPr>
              <w:t xml:space="preserve"> rate that is indicated in bank account statement (for cashless transactions). </w:t>
            </w:r>
          </w:p>
          <w:p w14:paraId="1CD80FBE" w14:textId="77777777" w:rsidR="00671DF9" w:rsidRPr="003B72A8" w:rsidRDefault="00671DF9" w:rsidP="00EC00E1">
            <w:pPr>
              <w:spacing w:line="226" w:lineRule="exact"/>
              <w:jc w:val="both"/>
              <w:rPr>
                <w:rStyle w:val="Bodytext29pt"/>
                <w:b w:val="0"/>
                <w:sz w:val="22"/>
                <w:szCs w:val="22"/>
                <w:lang w:val="en-GB"/>
              </w:rPr>
            </w:pPr>
            <w:r w:rsidRPr="003B72A8">
              <w:rPr>
                <w:rStyle w:val="Bodytext29pt"/>
                <w:b w:val="0"/>
                <w:sz w:val="22"/>
                <w:szCs w:val="22"/>
                <w:lang w:val="en-GB"/>
              </w:rPr>
              <w:t xml:space="preserve">b) in accordance with European Commission’s official monthly accounting rate, published on </w:t>
            </w:r>
            <w:hyperlink r:id="rId12" w:history="1">
              <w:r w:rsidRPr="003B72A8">
                <w:rPr>
                  <w:rStyle w:val="Hyperlink"/>
                  <w:rFonts w:cs="Arial"/>
                  <w:b/>
                  <w:bCs/>
                  <w:sz w:val="22"/>
                  <w:szCs w:val="22"/>
                  <w:lang w:eastAsia="uk-UA" w:bidi="uk-UA"/>
                </w:rPr>
                <w:t>https://commission.europa.eu/funding-tenders/procedures-guidelines-tenders/information-contractors-and-beneficiaries/exchange-rate-inforeuro_en</w:t>
              </w:r>
            </w:hyperlink>
            <w:r w:rsidRPr="003B72A8">
              <w:rPr>
                <w:rStyle w:val="Bodytext29pt"/>
                <w:b w:val="0"/>
                <w:sz w:val="22"/>
                <w:szCs w:val="22"/>
                <w:lang w:val="en-GB"/>
              </w:rPr>
              <w:t xml:space="preserve"> on the </w:t>
            </w:r>
            <w:r w:rsidRPr="003B72A8">
              <w:rPr>
                <w:rStyle w:val="Bodytext29pt"/>
                <w:b w:val="0"/>
                <w:sz w:val="22"/>
                <w:szCs w:val="22"/>
                <w:lang w:val="en-GB"/>
              </w:rPr>
              <w:lastRenderedPageBreak/>
              <w:t>date when the financial documents (proof of evidence) was issued (for cash transactions when no bank statement is available for confirmation of the used exchange rate).</w:t>
            </w:r>
          </w:p>
          <w:p w14:paraId="27E0A0AA" w14:textId="77777777" w:rsidR="00671DF9" w:rsidRPr="003B72A8" w:rsidRDefault="00671DF9" w:rsidP="00EC00E1">
            <w:pPr>
              <w:spacing w:line="226" w:lineRule="exact"/>
              <w:jc w:val="both"/>
              <w:rPr>
                <w:rFonts w:cs="Arial"/>
                <w:sz w:val="22"/>
                <w:szCs w:val="22"/>
                <w:lang w:val="en-US"/>
              </w:rPr>
            </w:pPr>
            <w:r w:rsidRPr="003B72A8">
              <w:rPr>
                <w:rStyle w:val="Bodytext29pt"/>
                <w:b w:val="0"/>
                <w:sz w:val="22"/>
                <w:szCs w:val="22"/>
                <w:lang w:val="en-GB"/>
              </w:rPr>
              <w:t xml:space="preserve">c) in accordance with the exchange rate of National Bank of Ukraine </w:t>
            </w:r>
            <w:hyperlink r:id="rId13" w:history="1">
              <w:r w:rsidRPr="003B72A8">
                <w:rPr>
                  <w:rStyle w:val="Hyperlink"/>
                  <w:rFonts w:cs="Arial"/>
                  <w:b/>
                  <w:sz w:val="22"/>
                  <w:szCs w:val="22"/>
                  <w:lang w:eastAsia="uk-UA" w:bidi="uk-UA"/>
                </w:rPr>
                <w:t>https://bank.gov.ua/ua/markets/exchangerates/</w:t>
              </w:r>
            </w:hyperlink>
            <w:r w:rsidRPr="003B72A8">
              <w:rPr>
                <w:rStyle w:val="Bodytext29pt"/>
                <w:b w:val="0"/>
                <w:sz w:val="22"/>
                <w:szCs w:val="22"/>
                <w:lang w:val="en-GB"/>
              </w:rPr>
              <w:t xml:space="preserve"> (on the date when the financial documents (proof of evidence) were issued)). (In case that invoiced foreign currency is not available at the European Commission site).</w:t>
            </w:r>
          </w:p>
        </w:tc>
      </w:tr>
      <w:tr w:rsidR="00671DF9" w:rsidRPr="002B6D64" w14:paraId="288EB672" w14:textId="77777777" w:rsidTr="00EC00E1">
        <w:tc>
          <w:tcPr>
            <w:tcW w:w="9493" w:type="dxa"/>
          </w:tcPr>
          <w:p w14:paraId="28B6B1AE" w14:textId="77777777" w:rsidR="00671DF9" w:rsidRPr="003B72A8" w:rsidRDefault="00671DF9" w:rsidP="00EC00E1">
            <w:pPr>
              <w:spacing w:line="226" w:lineRule="exact"/>
              <w:jc w:val="both"/>
              <w:rPr>
                <w:rStyle w:val="Bodytext2"/>
                <w:sz w:val="22"/>
                <w:szCs w:val="22"/>
                <w:lang w:val="en-US"/>
              </w:rPr>
            </w:pPr>
            <w:r w:rsidRPr="003B72A8">
              <w:rPr>
                <w:rStyle w:val="Bodytext2"/>
                <w:sz w:val="22"/>
                <w:szCs w:val="22"/>
                <w:lang w:val="en-US"/>
              </w:rPr>
              <w:lastRenderedPageBreak/>
              <w:t>6. Flights / ground transportation (train, taxi, private vehicles, car hire/car-sharing/)</w:t>
            </w:r>
          </w:p>
          <w:p w14:paraId="03CB345C" w14:textId="77777777" w:rsidR="00671DF9" w:rsidRPr="003B72A8" w:rsidRDefault="00671DF9" w:rsidP="00EC00E1">
            <w:pPr>
              <w:spacing w:line="226" w:lineRule="exact"/>
              <w:jc w:val="both"/>
              <w:rPr>
                <w:rStyle w:val="Bodytext29pt"/>
                <w:b w:val="0"/>
                <w:sz w:val="22"/>
                <w:szCs w:val="22"/>
                <w:lang w:val="en-US"/>
              </w:rPr>
            </w:pPr>
            <w:r w:rsidRPr="003B72A8">
              <w:rPr>
                <w:rFonts w:eastAsia="Arial" w:cs="Arial"/>
                <w:sz w:val="22"/>
                <w:szCs w:val="22"/>
                <w:lang w:val="en-US"/>
              </w:rPr>
              <w:t xml:space="preserve">Costs for transportation are reimbursed within the amount specified in the Contract, </w:t>
            </w:r>
            <w:r w:rsidRPr="003B72A8">
              <w:rPr>
                <w:rStyle w:val="Bodytext29pt"/>
                <w:b w:val="0"/>
                <w:sz w:val="22"/>
                <w:szCs w:val="22"/>
                <w:lang w:val="en-US"/>
              </w:rPr>
              <w:t xml:space="preserve">against proof of performance (in case of using lump sum) or against presentation of evidence (based on original financial documents). </w:t>
            </w:r>
          </w:p>
          <w:p w14:paraId="25A4603A" w14:textId="77777777" w:rsidR="00671DF9" w:rsidRPr="003B72A8" w:rsidRDefault="00671DF9" w:rsidP="00EC00E1">
            <w:pPr>
              <w:spacing w:line="226" w:lineRule="exact"/>
              <w:jc w:val="both"/>
              <w:rPr>
                <w:rFonts w:cs="Arial"/>
                <w:sz w:val="22"/>
                <w:szCs w:val="22"/>
                <w:lang w:val="en-US"/>
              </w:rPr>
            </w:pPr>
            <w:r w:rsidRPr="003B72A8">
              <w:rPr>
                <w:rStyle w:val="Bodytext29pt"/>
                <w:b w:val="0"/>
                <w:sz w:val="22"/>
                <w:szCs w:val="22"/>
                <w:lang w:val="en-US"/>
              </w:rPr>
              <w:t>The preferred mode of transport shall be economically efficient and environmentally friendly. GIZ is committed to the principles of resource conservation and environmental protection and therefore requires all partners to choose the most environmentally friendly means of transport. Experts/consultants shall take advantage of any price reductions (special rates etc.) that are available.</w:t>
            </w:r>
          </w:p>
          <w:p w14:paraId="2E0C4A64" w14:textId="77777777" w:rsidR="00671DF9" w:rsidRPr="003B72A8" w:rsidRDefault="00671DF9" w:rsidP="00EC00E1">
            <w:pPr>
              <w:jc w:val="both"/>
              <w:rPr>
                <w:rFonts w:cs="Arial"/>
                <w:sz w:val="22"/>
                <w:szCs w:val="22"/>
                <w:lang w:val="en-US"/>
              </w:rPr>
            </w:pPr>
            <w:r w:rsidRPr="003B72A8">
              <w:rPr>
                <w:rStyle w:val="Bodytext29pt"/>
                <w:b w:val="0"/>
                <w:sz w:val="22"/>
                <w:szCs w:val="22"/>
                <w:lang w:val="en-US"/>
              </w:rPr>
              <w:t>If travel time by train is 5 hours or less, train transport must be preferred for economic and environmental reasons</w:t>
            </w:r>
          </w:p>
        </w:tc>
      </w:tr>
      <w:tr w:rsidR="00671DF9" w:rsidRPr="002B6D64" w14:paraId="246E37C7" w14:textId="77777777" w:rsidTr="00EC00E1">
        <w:tc>
          <w:tcPr>
            <w:tcW w:w="9493" w:type="dxa"/>
          </w:tcPr>
          <w:p w14:paraId="629C6226" w14:textId="0B8731E5" w:rsidR="00F73636" w:rsidRPr="00757BB9" w:rsidRDefault="00671DF9" w:rsidP="00E437D5">
            <w:pPr>
              <w:spacing w:line="230" w:lineRule="exact"/>
              <w:jc w:val="both"/>
              <w:rPr>
                <w:rFonts w:eastAsia="Arial" w:cs="Arial"/>
                <w:b/>
                <w:bCs/>
                <w:sz w:val="18"/>
                <w:szCs w:val="18"/>
                <w:lang w:val="uk-UA" w:eastAsia="uk-UA" w:bidi="uk-UA"/>
              </w:rPr>
            </w:pPr>
            <w:r w:rsidRPr="00757BB9">
              <w:rPr>
                <w:rStyle w:val="Bodytext2"/>
                <w:color w:val="auto"/>
                <w:sz w:val="22"/>
                <w:szCs w:val="22"/>
                <w:lang w:val="en-US"/>
              </w:rPr>
              <w:t>7.1 Flights</w:t>
            </w:r>
            <w:r w:rsidR="00E437D5" w:rsidRPr="00757BB9">
              <w:rPr>
                <w:rStyle w:val="Bodytext2"/>
                <w:color w:val="auto"/>
                <w:sz w:val="22"/>
                <w:szCs w:val="22"/>
                <w:lang w:val="en-US"/>
              </w:rPr>
              <w:t xml:space="preserve"> </w:t>
            </w:r>
            <w:r w:rsidR="00F73636" w:rsidRPr="00757BB9">
              <w:rPr>
                <w:rStyle w:val="Bodytext29pt"/>
                <w:color w:val="auto"/>
                <w:lang w:val="en-US"/>
              </w:rPr>
              <w:t>- not applicable</w:t>
            </w:r>
          </w:p>
        </w:tc>
      </w:tr>
      <w:tr w:rsidR="00671DF9" w:rsidRPr="002B6D64" w14:paraId="729204B3" w14:textId="77777777" w:rsidTr="00EC00E1">
        <w:tc>
          <w:tcPr>
            <w:tcW w:w="9493" w:type="dxa"/>
          </w:tcPr>
          <w:p w14:paraId="335E9D51" w14:textId="77777777" w:rsidR="00671DF9" w:rsidRPr="003B72A8" w:rsidRDefault="00671DF9" w:rsidP="00EC00E1">
            <w:pPr>
              <w:spacing w:line="230" w:lineRule="exact"/>
              <w:jc w:val="both"/>
              <w:rPr>
                <w:rFonts w:cs="Arial"/>
                <w:sz w:val="22"/>
                <w:szCs w:val="22"/>
                <w:lang w:val="en-US"/>
              </w:rPr>
            </w:pPr>
            <w:r w:rsidRPr="003B72A8">
              <w:rPr>
                <w:rStyle w:val="Bodytext2"/>
                <w:sz w:val="22"/>
                <w:szCs w:val="22"/>
                <w:lang w:val="en-US"/>
              </w:rPr>
              <w:t>7.2 Trains</w:t>
            </w:r>
          </w:p>
          <w:p w14:paraId="4FC605F7" w14:textId="77777777" w:rsidR="00671DF9" w:rsidRPr="003B72A8" w:rsidRDefault="00671DF9" w:rsidP="00EC00E1">
            <w:pPr>
              <w:spacing w:line="230" w:lineRule="exact"/>
              <w:jc w:val="both"/>
              <w:rPr>
                <w:rFonts w:cs="Arial"/>
                <w:b/>
                <w:sz w:val="22"/>
                <w:szCs w:val="22"/>
              </w:rPr>
            </w:pPr>
            <w:r w:rsidRPr="003B72A8">
              <w:rPr>
                <w:rStyle w:val="Bodytext29pt"/>
                <w:b w:val="0"/>
                <w:sz w:val="22"/>
                <w:szCs w:val="22"/>
                <w:lang w:val="en-GB"/>
              </w:rPr>
              <w:t>Train tickets shall be booked and purchased by the expert/consultant by himself/herself. The ticket purchase fee is not to be reimbursed.</w:t>
            </w:r>
          </w:p>
          <w:p w14:paraId="4D048FE0" w14:textId="77777777" w:rsidR="00671DF9" w:rsidRPr="003B72A8" w:rsidRDefault="00671DF9" w:rsidP="00EC00E1">
            <w:pPr>
              <w:spacing w:line="230" w:lineRule="exact"/>
              <w:jc w:val="both"/>
              <w:rPr>
                <w:rStyle w:val="Bodytext29pt"/>
                <w:b w:val="0"/>
                <w:sz w:val="22"/>
                <w:szCs w:val="22"/>
              </w:rPr>
            </w:pPr>
            <w:r w:rsidRPr="003B72A8">
              <w:rPr>
                <w:rStyle w:val="Bodytext29pt"/>
                <w:b w:val="0"/>
                <w:sz w:val="22"/>
                <w:szCs w:val="22"/>
                <w:lang w:val="en-US"/>
              </w:rPr>
              <w:t>If required, first class tickets (</w:t>
            </w:r>
            <w:r w:rsidRPr="003B72A8">
              <w:rPr>
                <w:rStyle w:val="Bodytext29pt"/>
                <w:b w:val="0"/>
                <w:bCs w:val="0"/>
                <w:sz w:val="22"/>
                <w:szCs w:val="22"/>
                <w:lang w:val="en-US"/>
              </w:rPr>
              <w:t>abbreviation</w:t>
            </w:r>
            <w:r w:rsidRPr="003B72A8">
              <w:rPr>
                <w:rStyle w:val="Bodytext29pt"/>
                <w:b w:val="0"/>
                <w:sz w:val="22"/>
                <w:szCs w:val="22"/>
                <w:lang w:val="en-US"/>
              </w:rPr>
              <w:t xml:space="preserve"> in Ukraine: Л – two-seater, soft-seated, М – deluxe, single-seater,</w:t>
            </w:r>
            <w:r w:rsidRPr="003B72A8">
              <w:rPr>
                <w:rStyle w:val="Bodytext29pt"/>
                <w:b w:val="0"/>
                <w:bCs w:val="0"/>
                <w:sz w:val="22"/>
                <w:szCs w:val="22"/>
              </w:rPr>
              <w:t xml:space="preserve"> </w:t>
            </w:r>
            <w:r w:rsidRPr="003B72A8">
              <w:rPr>
                <w:rStyle w:val="Bodytext29pt"/>
                <w:b w:val="0"/>
                <w:sz w:val="22"/>
                <w:szCs w:val="22"/>
                <w:lang w:val="en-US"/>
              </w:rPr>
              <w:t xml:space="preserve">three-seater) are possible in case your journey not less than 2 hours. The decision on the class tickets is in the responsibility of </w:t>
            </w:r>
            <w:r w:rsidRPr="003B72A8">
              <w:rPr>
                <w:rStyle w:val="Bodytext29pt"/>
                <w:b w:val="0"/>
                <w:bCs w:val="0"/>
                <w:sz w:val="22"/>
                <w:szCs w:val="22"/>
                <w:lang w:val="en-US"/>
              </w:rPr>
              <w:t>traveler</w:t>
            </w:r>
            <w:r w:rsidRPr="003B72A8">
              <w:rPr>
                <w:rStyle w:val="Bodytext29pt"/>
                <w:b w:val="0"/>
                <w:sz w:val="22"/>
                <w:szCs w:val="22"/>
                <w:lang w:val="en-US"/>
              </w:rPr>
              <w:t xml:space="preserve"> and should be considered based on the cost-efficiency and security reasons (e. g. overnight trip).</w:t>
            </w:r>
          </w:p>
          <w:p w14:paraId="6C758193" w14:textId="77777777" w:rsidR="00787DAF" w:rsidRPr="005C7249" w:rsidRDefault="00787DAF" w:rsidP="00787DAF">
            <w:pPr>
              <w:tabs>
                <w:tab w:val="left" w:pos="1008"/>
              </w:tabs>
              <w:jc w:val="both"/>
              <w:rPr>
                <w:rStyle w:val="Bodytext29pt"/>
                <w:color w:val="auto"/>
                <w:lang w:val="en-US"/>
              </w:rPr>
            </w:pPr>
            <w:r w:rsidRPr="005C7249">
              <w:rPr>
                <w:rStyle w:val="Bodytext29pt"/>
                <w:color w:val="auto"/>
                <w:lang w:val="en-US"/>
              </w:rPr>
              <w:t>Contractor should provide the following documents for specific reimbursement type:</w:t>
            </w:r>
          </w:p>
          <w:p w14:paraId="7ADFB0E4" w14:textId="36ED4196" w:rsidR="00787DAF" w:rsidRPr="003B72A8" w:rsidRDefault="00787DAF" w:rsidP="005C7249">
            <w:pPr>
              <w:spacing w:after="0"/>
              <w:jc w:val="both"/>
              <w:rPr>
                <w:rStyle w:val="Bodytext2"/>
                <w:color w:val="FF0000"/>
                <w:sz w:val="18"/>
                <w:szCs w:val="18"/>
              </w:rPr>
            </w:pPr>
            <w:r w:rsidRPr="005C7249">
              <w:rPr>
                <w:rStyle w:val="Bodytext29pt"/>
                <w:color w:val="auto"/>
              </w:rPr>
              <w:t xml:space="preserve">Against </w:t>
            </w:r>
            <w:r w:rsidRPr="005C7249">
              <w:rPr>
                <w:rStyle w:val="Bodytext29pt"/>
                <w:color w:val="auto"/>
                <w:lang w:val="en-US"/>
              </w:rPr>
              <w:t>e</w:t>
            </w:r>
            <w:r w:rsidRPr="005C7249">
              <w:rPr>
                <w:rStyle w:val="Bodytext29pt"/>
                <w:color w:val="auto"/>
              </w:rPr>
              <w:t>vidance</w:t>
            </w:r>
            <w:r w:rsidRPr="005C7249">
              <w:rPr>
                <w:rStyle w:val="Bodytext29pt"/>
                <w:color w:val="auto"/>
                <w:lang w:val="en-US"/>
              </w:rPr>
              <w:t xml:space="preserve"> – tickets with price indication.</w:t>
            </w:r>
          </w:p>
        </w:tc>
      </w:tr>
      <w:tr w:rsidR="00671DF9" w:rsidRPr="00832A8B" w14:paraId="51D49E5C" w14:textId="77777777" w:rsidTr="00EC00E1">
        <w:tc>
          <w:tcPr>
            <w:tcW w:w="9493" w:type="dxa"/>
          </w:tcPr>
          <w:p w14:paraId="66CB3A31" w14:textId="77777777" w:rsidR="00671DF9" w:rsidRPr="003B72A8" w:rsidRDefault="00671DF9" w:rsidP="00EC00E1">
            <w:pPr>
              <w:spacing w:line="230" w:lineRule="exact"/>
              <w:jc w:val="both"/>
              <w:rPr>
                <w:rFonts w:cs="Arial"/>
                <w:sz w:val="22"/>
                <w:szCs w:val="22"/>
                <w:lang w:val="en-US"/>
              </w:rPr>
            </w:pPr>
            <w:r w:rsidRPr="003B72A8">
              <w:rPr>
                <w:rStyle w:val="Bodytext2"/>
                <w:sz w:val="22"/>
                <w:szCs w:val="22"/>
                <w:lang w:val="en-US"/>
              </w:rPr>
              <w:t>7.3 Taxis and group private transportation</w:t>
            </w:r>
          </w:p>
          <w:p w14:paraId="1D844AAF" w14:textId="77777777" w:rsidR="00671DF9" w:rsidRPr="003B72A8" w:rsidRDefault="00671DF9" w:rsidP="00EC00E1">
            <w:pPr>
              <w:spacing w:line="230" w:lineRule="exact"/>
              <w:jc w:val="both"/>
              <w:rPr>
                <w:rFonts w:cs="Arial"/>
                <w:b/>
                <w:sz w:val="22"/>
                <w:szCs w:val="22"/>
                <w:lang w:val="en-US"/>
              </w:rPr>
            </w:pPr>
            <w:r w:rsidRPr="003B72A8">
              <w:rPr>
                <w:rStyle w:val="Bodytext29pt"/>
                <w:b w:val="0"/>
                <w:sz w:val="22"/>
                <w:szCs w:val="22"/>
                <w:lang w:val="en-US"/>
              </w:rPr>
              <w:t>If the expert/consultant uses a taxi or a group private transportation during a business trip, abroad or in Ukraine, he\she should follow the principle of economic efficiency and necessity of usage this mean of transport.</w:t>
            </w:r>
          </w:p>
          <w:p w14:paraId="7FA8BD02" w14:textId="77777777" w:rsidR="00671DF9" w:rsidRPr="003B72A8" w:rsidRDefault="00671DF9" w:rsidP="00EC00E1">
            <w:pPr>
              <w:spacing w:line="230" w:lineRule="exact"/>
              <w:jc w:val="both"/>
              <w:rPr>
                <w:rStyle w:val="Bodytext29pt"/>
                <w:sz w:val="22"/>
                <w:szCs w:val="22"/>
              </w:rPr>
            </w:pPr>
            <w:r w:rsidRPr="003B72A8">
              <w:rPr>
                <w:rStyle w:val="Bodytext29pt"/>
                <w:b w:val="0"/>
                <w:sz w:val="22"/>
                <w:szCs w:val="22"/>
                <w:lang w:val="en-US"/>
              </w:rPr>
              <w:t>The justification for such a choice should be provided together with a financial document (proof of evidence).</w:t>
            </w:r>
            <w:r w:rsidRPr="003B72A8">
              <w:rPr>
                <w:rStyle w:val="Bodytext29pt"/>
                <w:sz w:val="22"/>
                <w:szCs w:val="22"/>
                <w:lang w:val="en-US"/>
              </w:rPr>
              <w:t xml:space="preserve"> </w:t>
            </w:r>
          </w:p>
          <w:p w14:paraId="13A4A73A" w14:textId="77777777" w:rsidR="00953351" w:rsidRPr="00266479" w:rsidRDefault="00953351" w:rsidP="00953351">
            <w:pPr>
              <w:tabs>
                <w:tab w:val="left" w:pos="1008"/>
              </w:tabs>
              <w:jc w:val="both"/>
              <w:rPr>
                <w:rStyle w:val="Bodytext29pt"/>
                <w:color w:val="auto"/>
                <w:lang w:val="en-US"/>
              </w:rPr>
            </w:pPr>
            <w:r w:rsidRPr="00266479">
              <w:rPr>
                <w:rStyle w:val="Bodytext29pt"/>
                <w:color w:val="auto"/>
                <w:lang w:val="en-US"/>
              </w:rPr>
              <w:t>Contractor should provide the following documents for specific reimbursement type:</w:t>
            </w:r>
          </w:p>
          <w:p w14:paraId="7731F017" w14:textId="45B7C858" w:rsidR="00953351" w:rsidRPr="003B72A8" w:rsidRDefault="00953351" w:rsidP="00266479">
            <w:pPr>
              <w:tabs>
                <w:tab w:val="left" w:pos="1008"/>
              </w:tabs>
              <w:spacing w:after="0"/>
              <w:jc w:val="both"/>
              <w:rPr>
                <w:rStyle w:val="Bodytext2"/>
                <w:color w:val="FF0000"/>
                <w:sz w:val="18"/>
                <w:szCs w:val="18"/>
              </w:rPr>
            </w:pPr>
            <w:r w:rsidRPr="00266479">
              <w:rPr>
                <w:rStyle w:val="Bodytext29pt"/>
                <w:color w:val="auto"/>
              </w:rPr>
              <w:t xml:space="preserve">Against </w:t>
            </w:r>
            <w:r w:rsidRPr="00266479">
              <w:rPr>
                <w:rStyle w:val="Bodytext29pt"/>
                <w:color w:val="auto"/>
                <w:lang w:val="en-US"/>
              </w:rPr>
              <w:t>e</w:t>
            </w:r>
            <w:r w:rsidRPr="00266479">
              <w:rPr>
                <w:rStyle w:val="Bodytext29pt"/>
                <w:color w:val="auto"/>
              </w:rPr>
              <w:t>vidance</w:t>
            </w:r>
            <w:r w:rsidRPr="00266479">
              <w:rPr>
                <w:rStyle w:val="Bodytext29pt"/>
                <w:color w:val="auto"/>
                <w:lang w:val="en-US"/>
              </w:rPr>
              <w:t xml:space="preserve"> – Taxi </w:t>
            </w:r>
            <w:r w:rsidR="00832A8B">
              <w:rPr>
                <w:rStyle w:val="Bodytext29pt"/>
                <w:color w:val="auto"/>
              </w:rPr>
              <w:t xml:space="preserve">– </w:t>
            </w:r>
            <w:r w:rsidR="00832A8B" w:rsidRPr="00757BB9">
              <w:rPr>
                <w:rStyle w:val="Bodytext29pt"/>
                <w:color w:val="auto"/>
                <w:lang w:val="en-US"/>
              </w:rPr>
              <w:t>no</w:t>
            </w:r>
            <w:r w:rsidR="00832A8B">
              <w:rPr>
                <w:rStyle w:val="Bodytext29pt"/>
                <w:color w:val="auto"/>
                <w:lang w:val="en-US"/>
              </w:rPr>
              <w:t>t applicable</w:t>
            </w:r>
            <w:r w:rsidRPr="00266479">
              <w:rPr>
                <w:rStyle w:val="Bodytext29pt"/>
                <w:color w:val="auto"/>
                <w:lang w:val="en-US"/>
              </w:rPr>
              <w:t>; Group private transportation (invoice from the actual service provider).</w:t>
            </w:r>
          </w:p>
        </w:tc>
      </w:tr>
      <w:tr w:rsidR="00671DF9" w:rsidRPr="002B6D64" w14:paraId="31D25278" w14:textId="77777777" w:rsidTr="00EC00E1">
        <w:tc>
          <w:tcPr>
            <w:tcW w:w="9493" w:type="dxa"/>
          </w:tcPr>
          <w:p w14:paraId="64CC20F0" w14:textId="77777777" w:rsidR="00671DF9" w:rsidRPr="003B72A8" w:rsidRDefault="00671DF9" w:rsidP="00EC00E1">
            <w:pPr>
              <w:spacing w:line="226" w:lineRule="exact"/>
              <w:jc w:val="both"/>
              <w:rPr>
                <w:rFonts w:cs="Arial"/>
                <w:sz w:val="22"/>
                <w:szCs w:val="22"/>
                <w:lang w:val="en-US"/>
              </w:rPr>
            </w:pPr>
            <w:r w:rsidRPr="003B72A8">
              <w:rPr>
                <w:rStyle w:val="Bodytext2"/>
                <w:sz w:val="22"/>
                <w:szCs w:val="22"/>
                <w:lang w:val="en-US"/>
              </w:rPr>
              <w:t>7.4 Private vehicles</w:t>
            </w:r>
          </w:p>
          <w:p w14:paraId="06187826" w14:textId="77777777" w:rsidR="00671DF9" w:rsidRPr="003B72A8" w:rsidRDefault="00671DF9" w:rsidP="00EC00E1">
            <w:pPr>
              <w:spacing w:line="226" w:lineRule="exact"/>
              <w:jc w:val="both"/>
              <w:rPr>
                <w:rStyle w:val="Bodytext29pt"/>
                <w:b w:val="0"/>
                <w:sz w:val="22"/>
                <w:szCs w:val="22"/>
                <w:lang w:val="en-GB"/>
              </w:rPr>
            </w:pPr>
            <w:r w:rsidRPr="003B72A8">
              <w:rPr>
                <w:rStyle w:val="Bodytext29pt"/>
                <w:b w:val="0"/>
                <w:bCs w:val="0"/>
                <w:sz w:val="22"/>
                <w:szCs w:val="22"/>
                <w:lang w:val="en-GB"/>
              </w:rPr>
              <w:t>As a rule</w:t>
            </w:r>
            <w:r w:rsidRPr="003B72A8">
              <w:rPr>
                <w:rStyle w:val="Bodytext29pt"/>
                <w:b w:val="0"/>
                <w:sz w:val="22"/>
                <w:szCs w:val="22"/>
                <w:lang w:val="en-GB"/>
              </w:rPr>
              <w:t>, business trips should be made by rail rather than using a private vehicle. Compensation for usage of private vehicles is allowed if such a category of costs is stipulated in the Contract.</w:t>
            </w:r>
          </w:p>
          <w:p w14:paraId="73C5FEED" w14:textId="77777777" w:rsidR="00671DF9" w:rsidRPr="003B72A8" w:rsidRDefault="00671DF9" w:rsidP="00EC00E1">
            <w:pPr>
              <w:spacing w:line="226" w:lineRule="exact"/>
              <w:jc w:val="both"/>
              <w:rPr>
                <w:rStyle w:val="Bodytext29pt"/>
                <w:b w:val="0"/>
                <w:sz w:val="22"/>
                <w:szCs w:val="22"/>
                <w:lang w:val="en-GB"/>
              </w:rPr>
            </w:pPr>
            <w:r w:rsidRPr="003B72A8">
              <w:rPr>
                <w:rStyle w:val="Bodytext29pt"/>
                <w:b w:val="0"/>
                <w:sz w:val="22"/>
                <w:szCs w:val="22"/>
                <w:lang w:val="en-GB"/>
              </w:rPr>
              <w:t>In the case of using private vehicles, GIZ compensates for such costs at a fixed rate per kilometre, using the shortest possible route (according to the calculation of the Google Maps navigator).</w:t>
            </w:r>
          </w:p>
          <w:p w14:paraId="0DD1C1FC" w14:textId="77777777" w:rsidR="00671DF9" w:rsidRPr="003B72A8" w:rsidRDefault="00671DF9" w:rsidP="00EC00E1">
            <w:pPr>
              <w:spacing w:line="226" w:lineRule="exact"/>
              <w:jc w:val="both"/>
              <w:rPr>
                <w:rStyle w:val="Bodytext29pt"/>
                <w:b w:val="0"/>
                <w:sz w:val="22"/>
                <w:szCs w:val="22"/>
                <w:lang w:val="en-GB"/>
              </w:rPr>
            </w:pPr>
            <w:r w:rsidRPr="003B72A8">
              <w:rPr>
                <w:rStyle w:val="Bodytext29pt"/>
                <w:b w:val="0"/>
                <w:sz w:val="22"/>
                <w:szCs w:val="22"/>
                <w:lang w:val="en-GB"/>
              </w:rPr>
              <w:lastRenderedPageBreak/>
              <w:t xml:space="preserve">For journeys with a one-way distance of more than 200 km, the expert/consultant must provide evidence that using a motor vehicle is more economical than other means of transport. The basis for reimbursement and for determining which means of transport is more economical is the cost of a </w:t>
            </w:r>
            <w:r w:rsidRPr="003B72A8">
              <w:rPr>
                <w:rStyle w:val="Bodytext29pt"/>
                <w:b w:val="0"/>
                <w:bCs w:val="0"/>
                <w:sz w:val="22"/>
                <w:szCs w:val="22"/>
                <w:lang w:val="en-GB"/>
              </w:rPr>
              <w:t>second-class</w:t>
            </w:r>
            <w:r w:rsidRPr="003B72A8">
              <w:rPr>
                <w:rStyle w:val="Bodytext29pt"/>
                <w:b w:val="0"/>
                <w:sz w:val="22"/>
                <w:szCs w:val="22"/>
                <w:lang w:val="en-GB"/>
              </w:rPr>
              <w:t xml:space="preserve"> rail ticket.</w:t>
            </w:r>
          </w:p>
          <w:p w14:paraId="0EE266D4" w14:textId="77777777" w:rsidR="00150EE3" w:rsidRDefault="00671DF9" w:rsidP="00D40ED3">
            <w:pPr>
              <w:spacing w:line="226" w:lineRule="exact"/>
              <w:jc w:val="both"/>
              <w:rPr>
                <w:rStyle w:val="Bodytext29pt"/>
                <w:b w:val="0"/>
                <w:sz w:val="22"/>
                <w:szCs w:val="22"/>
                <w:lang w:val="en-GB"/>
              </w:rPr>
            </w:pPr>
            <w:r w:rsidRPr="003B72A8">
              <w:rPr>
                <w:rStyle w:val="Bodytext29pt"/>
                <w:b w:val="0"/>
                <w:sz w:val="22"/>
                <w:szCs w:val="22"/>
                <w:lang w:val="en-GB"/>
              </w:rPr>
              <w:t>If a private motor vehicle is used for other important reasons (e.g. to carry heavy luggage, documents or materials, or if local transport connections are poor), convincing and adequate reasons must be set out by the expert/consultant.</w:t>
            </w:r>
          </w:p>
          <w:p w14:paraId="673C5BAD" w14:textId="77777777" w:rsidR="005E1FE3" w:rsidRPr="00757BB9" w:rsidRDefault="005E1FE3" w:rsidP="005E1FE3">
            <w:pPr>
              <w:tabs>
                <w:tab w:val="left" w:pos="1008"/>
              </w:tabs>
              <w:jc w:val="both"/>
              <w:rPr>
                <w:rStyle w:val="Bodytext29pt"/>
                <w:color w:val="auto"/>
                <w:lang w:val="en-US"/>
              </w:rPr>
            </w:pPr>
            <w:r w:rsidRPr="00757BB9">
              <w:rPr>
                <w:rStyle w:val="Bodytext29pt"/>
                <w:color w:val="auto"/>
                <w:lang w:val="en-US"/>
              </w:rPr>
              <w:t>Contractor should provide the following documents for specific reimbursement type:</w:t>
            </w:r>
          </w:p>
          <w:p w14:paraId="430BAC00" w14:textId="5E3A5556" w:rsidR="005E1FE3" w:rsidRPr="00757BB9" w:rsidRDefault="005E1FE3" w:rsidP="00757BB9">
            <w:pPr>
              <w:spacing w:after="0"/>
              <w:jc w:val="both"/>
              <w:rPr>
                <w:rStyle w:val="Bodytext2"/>
                <w:color w:val="FF0000"/>
                <w:sz w:val="18"/>
                <w:szCs w:val="18"/>
                <w:lang w:val="en-US"/>
              </w:rPr>
            </w:pPr>
            <w:r w:rsidRPr="00757BB9">
              <w:rPr>
                <w:rStyle w:val="Bodytext29pt"/>
                <w:color w:val="auto"/>
                <w:lang w:val="en-US"/>
              </w:rPr>
              <w:t>Against performance (lump-sum based) - needs evidence by internal based calculation of route planner like Google-map or similar (</w:t>
            </w:r>
            <w:r w:rsidR="001205B9" w:rsidRPr="00757BB9">
              <w:rPr>
                <w:rStyle w:val="Bodytext29pt"/>
                <w:color w:val="auto"/>
                <w:lang w:val="en-US"/>
              </w:rPr>
              <w:t>1</w:t>
            </w:r>
            <w:r w:rsidR="001205B9" w:rsidRPr="00757BB9">
              <w:rPr>
                <w:rStyle w:val="Bodytext29pt"/>
                <w:color w:val="auto"/>
              </w:rPr>
              <w:t>8</w:t>
            </w:r>
            <w:r w:rsidRPr="00757BB9">
              <w:rPr>
                <w:rStyle w:val="Bodytext29pt"/>
                <w:color w:val="auto"/>
                <w:lang w:val="en-US"/>
              </w:rPr>
              <w:t xml:space="preserve"> UAH per 1 km which includes all expenses without exception, such as fuel etc.)</w:t>
            </w:r>
          </w:p>
        </w:tc>
      </w:tr>
      <w:tr w:rsidR="00671DF9" w:rsidRPr="002B6D64" w14:paraId="6223C7AC" w14:textId="77777777" w:rsidTr="00EC00E1">
        <w:trPr>
          <w:trHeight w:val="678"/>
        </w:trPr>
        <w:tc>
          <w:tcPr>
            <w:tcW w:w="9493" w:type="dxa"/>
          </w:tcPr>
          <w:p w14:paraId="6CB29098" w14:textId="77777777" w:rsidR="00671DF9" w:rsidRPr="003B72A8" w:rsidRDefault="00671DF9" w:rsidP="00EC00E1">
            <w:pPr>
              <w:spacing w:line="230" w:lineRule="exact"/>
              <w:jc w:val="both"/>
              <w:rPr>
                <w:rStyle w:val="Bodytext2"/>
                <w:sz w:val="22"/>
                <w:szCs w:val="22"/>
                <w:lang w:val="en-US"/>
              </w:rPr>
            </w:pPr>
            <w:r w:rsidRPr="003B72A8">
              <w:rPr>
                <w:rStyle w:val="Bodytext2"/>
                <w:sz w:val="22"/>
                <w:szCs w:val="22"/>
                <w:lang w:val="en-US"/>
              </w:rPr>
              <w:lastRenderedPageBreak/>
              <w:t>7.5 Buses</w:t>
            </w:r>
          </w:p>
          <w:p w14:paraId="44A4810D" w14:textId="77777777" w:rsidR="00671DF9" w:rsidRPr="003B72A8" w:rsidRDefault="00671DF9" w:rsidP="00EC00E1">
            <w:pPr>
              <w:spacing w:line="230" w:lineRule="exact"/>
              <w:jc w:val="both"/>
              <w:rPr>
                <w:rStyle w:val="Bodytext2"/>
                <w:sz w:val="22"/>
                <w:szCs w:val="22"/>
              </w:rPr>
            </w:pPr>
            <w:r w:rsidRPr="003B72A8">
              <w:rPr>
                <w:rStyle w:val="Bodytext29pt"/>
                <w:b w:val="0"/>
                <w:sz w:val="22"/>
                <w:szCs w:val="22"/>
                <w:lang w:val="en-GB"/>
              </w:rPr>
              <w:t xml:space="preserve">Bus tickets must be booked and purchased </w:t>
            </w:r>
            <w:r w:rsidRPr="003B72A8">
              <w:rPr>
                <w:rStyle w:val="Bodytext29pt"/>
                <w:b w:val="0"/>
                <w:bCs w:val="0"/>
                <w:sz w:val="22"/>
                <w:szCs w:val="22"/>
                <w:lang w:val="en-GB"/>
              </w:rPr>
              <w:t>independently by an expert/consultant</w:t>
            </w:r>
            <w:r w:rsidRPr="003B72A8">
              <w:rPr>
                <w:rStyle w:val="Bodytext29pt"/>
                <w:b w:val="0"/>
                <w:sz w:val="22"/>
                <w:szCs w:val="22"/>
                <w:lang w:val="en-GB"/>
              </w:rPr>
              <w:t>.</w:t>
            </w:r>
            <w:r w:rsidRPr="003B72A8">
              <w:rPr>
                <w:rStyle w:val="Bodytext2"/>
                <w:sz w:val="22"/>
                <w:szCs w:val="22"/>
              </w:rPr>
              <w:t xml:space="preserve"> </w:t>
            </w:r>
          </w:p>
          <w:p w14:paraId="7137CF68" w14:textId="77777777" w:rsidR="008573F2" w:rsidRPr="00D40ED3" w:rsidRDefault="008573F2" w:rsidP="008573F2">
            <w:pPr>
              <w:tabs>
                <w:tab w:val="left" w:pos="1008"/>
              </w:tabs>
              <w:jc w:val="both"/>
              <w:rPr>
                <w:rStyle w:val="Bodytext29pt"/>
                <w:b w:val="0"/>
                <w:bCs w:val="0"/>
                <w:color w:val="auto"/>
                <w:lang w:val="en-US"/>
              </w:rPr>
            </w:pPr>
            <w:r w:rsidRPr="00D40ED3">
              <w:rPr>
                <w:rStyle w:val="Bodytext29pt"/>
                <w:b w:val="0"/>
                <w:bCs w:val="0"/>
                <w:color w:val="auto"/>
                <w:lang w:val="en-US"/>
              </w:rPr>
              <w:t>Contractor should provide the following documents for specific reimbursement type:</w:t>
            </w:r>
          </w:p>
          <w:p w14:paraId="1E597895" w14:textId="77777777" w:rsidR="008573F2" w:rsidRPr="00757BB9" w:rsidRDefault="008573F2" w:rsidP="008573F2">
            <w:pPr>
              <w:spacing w:after="0"/>
              <w:jc w:val="both"/>
              <w:rPr>
                <w:rStyle w:val="Bodytext29pt"/>
                <w:color w:val="auto"/>
              </w:rPr>
            </w:pPr>
            <w:r w:rsidRPr="00757BB9">
              <w:rPr>
                <w:rStyle w:val="Bodytext29pt"/>
                <w:color w:val="auto"/>
              </w:rPr>
              <w:t xml:space="preserve">Against </w:t>
            </w:r>
            <w:r w:rsidRPr="00757BB9">
              <w:rPr>
                <w:rStyle w:val="Bodytext29pt"/>
                <w:color w:val="auto"/>
                <w:lang w:val="en-US"/>
              </w:rPr>
              <w:t>e</w:t>
            </w:r>
            <w:r w:rsidRPr="00757BB9">
              <w:rPr>
                <w:rStyle w:val="Bodytext29pt"/>
                <w:color w:val="auto"/>
              </w:rPr>
              <w:t>vidance</w:t>
            </w:r>
            <w:r w:rsidRPr="00757BB9">
              <w:rPr>
                <w:rStyle w:val="Bodytext29pt"/>
                <w:color w:val="auto"/>
                <w:lang w:val="en-US"/>
              </w:rPr>
              <w:t xml:space="preserve"> – tickets with price indication</w:t>
            </w:r>
          </w:p>
          <w:p w14:paraId="1962109B" w14:textId="5FBD5A1A" w:rsidR="008573F2" w:rsidRPr="003B72A8" w:rsidRDefault="008573F2" w:rsidP="005D26F7">
            <w:pPr>
              <w:spacing w:after="0"/>
              <w:jc w:val="both"/>
              <w:rPr>
                <w:rStyle w:val="Bodytext2"/>
                <w:color w:val="FF0000"/>
                <w:sz w:val="18"/>
                <w:szCs w:val="18"/>
              </w:rPr>
            </w:pPr>
          </w:p>
        </w:tc>
      </w:tr>
    </w:tbl>
    <w:p w14:paraId="1CE745CD" w14:textId="77777777" w:rsidR="006A0248" w:rsidRPr="00B639F2" w:rsidRDefault="006A0248" w:rsidP="0048542D">
      <w:pPr>
        <w:jc w:val="both"/>
        <w:rPr>
          <w:rFonts w:cs="Arial"/>
          <w:sz w:val="20"/>
          <w:szCs w:val="20"/>
        </w:rPr>
      </w:pPr>
    </w:p>
    <w:p w14:paraId="7E4F5215" w14:textId="77777777" w:rsidR="006A0248" w:rsidRPr="00810090" w:rsidRDefault="006A0248" w:rsidP="00D93EF8">
      <w:pPr>
        <w:jc w:val="center"/>
        <w:rPr>
          <w:rFonts w:cs="Arial"/>
          <w:b/>
          <w:bCs/>
          <w:sz w:val="20"/>
          <w:szCs w:val="20"/>
          <w:lang w:val="uk-UA"/>
        </w:rPr>
      </w:pPr>
      <w:r w:rsidRPr="00810090">
        <w:rPr>
          <w:rFonts w:cs="Arial"/>
          <w:b/>
          <w:bCs/>
          <w:sz w:val="20"/>
          <w:szCs w:val="20"/>
        </w:rPr>
        <w:t xml:space="preserve">Table 1 / </w:t>
      </w:r>
      <w:r w:rsidRPr="00810090">
        <w:rPr>
          <w:rFonts w:cs="Arial"/>
          <w:b/>
          <w:bCs/>
          <w:sz w:val="20"/>
          <w:szCs w:val="20"/>
          <w:lang w:val="uk-UA"/>
        </w:rPr>
        <w:t>Таблиця 1</w:t>
      </w:r>
    </w:p>
    <w:p w14:paraId="7119D97F" w14:textId="62B6A4C9" w:rsidR="009D1A20" w:rsidRDefault="006A0248" w:rsidP="00D93EF8">
      <w:pPr>
        <w:jc w:val="center"/>
        <w:rPr>
          <w:rFonts w:cs="Arial"/>
          <w:b/>
          <w:bCs/>
          <w:sz w:val="20"/>
          <w:szCs w:val="20"/>
          <w:lang w:val="uk-UA"/>
        </w:rPr>
      </w:pPr>
      <w:r w:rsidRPr="00810090">
        <w:rPr>
          <w:rFonts w:cs="Arial"/>
          <w:b/>
          <w:bCs/>
          <w:sz w:val="20"/>
          <w:szCs w:val="20"/>
          <w:lang w:val="uk-UA"/>
        </w:rPr>
        <w:t>The calculation of per diems for business trips per Travel Day</w:t>
      </w:r>
    </w:p>
    <w:p w14:paraId="75EC6A35" w14:textId="13DCA0F1" w:rsidR="006A0248" w:rsidRDefault="00CB4C1E" w:rsidP="0048542D">
      <w:pPr>
        <w:jc w:val="both"/>
      </w:pPr>
      <w:r w:rsidRPr="009750E2">
        <w:rPr>
          <w:rFonts w:cs="Arial"/>
          <w:noProof/>
          <w:sz w:val="20"/>
          <w:szCs w:val="20"/>
          <w:lang w:val="uk-UA"/>
        </w:rPr>
        <w:drawing>
          <wp:anchor distT="0" distB="0" distL="114300" distR="114300" simplePos="0" relativeHeight="251658240" behindDoc="0" locked="0" layoutInCell="1" allowOverlap="1" wp14:anchorId="12D255D5" wp14:editId="298BB916">
            <wp:simplePos x="0" y="0"/>
            <wp:positionH relativeFrom="margin">
              <wp:posOffset>1981200</wp:posOffset>
            </wp:positionH>
            <wp:positionV relativeFrom="paragraph">
              <wp:posOffset>61595</wp:posOffset>
            </wp:positionV>
            <wp:extent cx="2449195" cy="2044065"/>
            <wp:effectExtent l="0" t="0" r="8255" b="0"/>
            <wp:wrapSquare wrapText="bothSides"/>
            <wp:docPr id="1" name="Picture 1" descr="Зображення, що містить текст, знімок екрана, Шрифт, числ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Зображення, що містить текст, знімок екрана, Шрифт, число&#10;&#10;Автоматично згенерований опис"/>
                    <pic:cNvPicPr/>
                  </pic:nvPicPr>
                  <pic:blipFill>
                    <a:blip r:embed="rId14">
                      <a:extLst>
                        <a:ext uri="{28A0092B-C50C-407E-A947-70E740481C1C}">
                          <a14:useLocalDpi xmlns:a14="http://schemas.microsoft.com/office/drawing/2010/main" val="0"/>
                        </a:ext>
                      </a:extLst>
                    </a:blip>
                    <a:stretch>
                      <a:fillRect/>
                    </a:stretch>
                  </pic:blipFill>
                  <pic:spPr>
                    <a:xfrm>
                      <a:off x="0" y="0"/>
                      <a:ext cx="2449195" cy="2044065"/>
                    </a:xfrm>
                    <a:prstGeom prst="rect">
                      <a:avLst/>
                    </a:prstGeom>
                  </pic:spPr>
                </pic:pic>
              </a:graphicData>
            </a:graphic>
            <wp14:sizeRelH relativeFrom="margin">
              <wp14:pctWidth>0</wp14:pctWidth>
            </wp14:sizeRelH>
            <wp14:sizeRelV relativeFrom="margin">
              <wp14:pctHeight>0</wp14:pctHeight>
            </wp14:sizeRelV>
          </wp:anchor>
        </w:drawing>
      </w:r>
      <w:bookmarkEnd w:id="124"/>
    </w:p>
    <w:sectPr w:rsidR="006A0248" w:rsidSect="007C42D4">
      <w:headerReference w:type="default" r:id="rId15"/>
      <w:footerReference w:type="default" r:id="rId16"/>
      <w:headerReference w:type="first" r:id="rId17"/>
      <w:footerReference w:type="first" r:id="rId18"/>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573FE" w14:textId="77777777" w:rsidR="00F479D0" w:rsidRDefault="00F479D0" w:rsidP="00E0714A">
      <w:r>
        <w:separator/>
      </w:r>
    </w:p>
    <w:p w14:paraId="1AAF99BD" w14:textId="77777777" w:rsidR="00F479D0" w:rsidRDefault="00F479D0"/>
    <w:p w14:paraId="5DA99F8E" w14:textId="77777777" w:rsidR="00F479D0" w:rsidRDefault="00F479D0"/>
  </w:endnote>
  <w:endnote w:type="continuationSeparator" w:id="0">
    <w:p w14:paraId="6FDF99E7" w14:textId="77777777" w:rsidR="00F479D0" w:rsidRDefault="00F479D0" w:rsidP="00E0714A">
      <w:r>
        <w:continuationSeparator/>
      </w:r>
    </w:p>
    <w:p w14:paraId="7020173F" w14:textId="77777777" w:rsidR="00F479D0" w:rsidRDefault="00F479D0"/>
    <w:p w14:paraId="1A28AE1F" w14:textId="77777777" w:rsidR="00F479D0" w:rsidRDefault="00F479D0"/>
  </w:endnote>
  <w:endnote w:type="continuationNotice" w:id="1">
    <w:p w14:paraId="68B03189" w14:textId="77777777" w:rsidR="00F479D0" w:rsidRDefault="00F479D0">
      <w:pPr>
        <w:spacing w:after="0"/>
      </w:pPr>
    </w:p>
    <w:p w14:paraId="4A6948D5" w14:textId="77777777" w:rsidR="00F479D0" w:rsidRDefault="00F479D0"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574590D5" w:rsidR="008934FE" w:rsidRPr="00D3001F" w:rsidRDefault="007C42D4" w:rsidP="007C42D4">
    <w:pPr>
      <w:tabs>
        <w:tab w:val="left" w:pos="795"/>
        <w:tab w:val="left" w:pos="7740"/>
        <w:tab w:val="right" w:pos="9497"/>
      </w:tabs>
      <w:rPr>
        <w:rFonts w:cs="Arial"/>
      </w:rPr>
    </w:pPr>
    <w:r>
      <w:rPr>
        <w:rFonts w:cs="Arial"/>
      </w:rPr>
      <w:tab/>
    </w:r>
    <w:r>
      <w:rPr>
        <w:rFonts w:cs="Arial"/>
      </w:rPr>
      <w:tab/>
    </w:r>
    <w:r>
      <w:rPr>
        <w:rFonts w:cs="Arial"/>
      </w:rPr>
      <w:tab/>
    </w:r>
    <w:r w:rsidR="008934FE">
      <w:rPr>
        <w:rFonts w:cs="Arial"/>
      </w:rPr>
      <w:fldChar w:fldCharType="begin"/>
    </w:r>
    <w:r w:rsidR="008934FE">
      <w:rPr>
        <w:rFonts w:cs="Arial"/>
      </w:rPr>
      <w:instrText xml:space="preserve"> PAGE  \* Arabic  \* MERGEFORMAT </w:instrText>
    </w:r>
    <w:r w:rsidR="008934FE">
      <w:rPr>
        <w:rFonts w:cs="Arial"/>
      </w:rPr>
      <w:fldChar w:fldCharType="separate"/>
    </w:r>
    <w:r w:rsidR="00443597">
      <w:rPr>
        <w:rFonts w:cs="Arial"/>
        <w:noProof/>
      </w:rPr>
      <w:t>6</w:t>
    </w:r>
    <w:r w:rsidR="008934FE">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93D1A" w14:textId="77777777" w:rsidR="000F2247" w:rsidRDefault="008934FE" w:rsidP="00B53644">
    <w:pPr>
      <w:pStyle w:val="Footer"/>
      <w:tabs>
        <w:tab w:val="clear" w:pos="4536"/>
      </w:tabs>
      <w:rPr>
        <w:sz w:val="14"/>
      </w:rPr>
    </w:pPr>
    <w:r>
      <w:rPr>
        <w:sz w:val="14"/>
      </w:rPr>
      <w:t>Form 41-14-2-en</w:t>
    </w:r>
  </w:p>
  <w:p w14:paraId="294CCF6D" w14:textId="7AF1E8F4" w:rsidR="008934FE" w:rsidRDefault="007C42D4"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C5A5A" w14:textId="77777777" w:rsidR="00F479D0" w:rsidRDefault="00F479D0" w:rsidP="00E0714A">
      <w:r>
        <w:separator/>
      </w:r>
    </w:p>
    <w:p w14:paraId="3F2315B9" w14:textId="77777777" w:rsidR="00F479D0" w:rsidRDefault="00F479D0"/>
    <w:p w14:paraId="40052AC1" w14:textId="77777777" w:rsidR="00F479D0" w:rsidRDefault="00F479D0"/>
  </w:footnote>
  <w:footnote w:type="continuationSeparator" w:id="0">
    <w:p w14:paraId="182FFBDB" w14:textId="77777777" w:rsidR="00F479D0" w:rsidRDefault="00F479D0" w:rsidP="00E0714A">
      <w:r>
        <w:continuationSeparator/>
      </w:r>
    </w:p>
    <w:p w14:paraId="03DDC6B2" w14:textId="77777777" w:rsidR="00F479D0" w:rsidRDefault="00F479D0"/>
    <w:p w14:paraId="6E1C4EBD" w14:textId="77777777" w:rsidR="00F479D0" w:rsidRDefault="00F479D0"/>
  </w:footnote>
  <w:footnote w:type="continuationNotice" w:id="1">
    <w:p w14:paraId="22CDCA6B" w14:textId="77777777" w:rsidR="00F479D0" w:rsidRDefault="00F479D0">
      <w:pPr>
        <w:spacing w:after="0"/>
      </w:pPr>
    </w:p>
    <w:p w14:paraId="4BDB23AB" w14:textId="77777777" w:rsidR="00F479D0" w:rsidRDefault="00F479D0"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26BB3537" w:rsidR="008934FE" w:rsidRPr="005B309C" w:rsidRDefault="005B309C" w:rsidP="00B53644">
    <w:pPr>
      <w:spacing w:after="0"/>
      <w:rPr>
        <w:lang w:val="en-US"/>
      </w:rPr>
    </w:pPr>
    <w:r>
      <w:rPr>
        <w:lang w:val="en-U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C09" w14:textId="01320FA8" w:rsidR="005B309C" w:rsidRPr="005B309C" w:rsidRDefault="005B309C">
    <w:pPr>
      <w:pStyle w:val="Header"/>
      <w:rPr>
        <w:lang w:val="en-US"/>
      </w:rPr>
    </w:pPr>
    <w:r>
      <w:rPr>
        <w:lang w:val="en-U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B550A"/>
    <w:multiLevelType w:val="hybridMultilevel"/>
    <w:tmpl w:val="2C82D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7E569E"/>
    <w:multiLevelType w:val="hybridMultilevel"/>
    <w:tmpl w:val="793C67C8"/>
    <w:lvl w:ilvl="0" w:tplc="358CB258">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5"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6"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6F5D0952"/>
    <w:multiLevelType w:val="multilevel"/>
    <w:tmpl w:val="9BC674C8"/>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8"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2052680152">
    <w:abstractNumId w:val="3"/>
  </w:num>
  <w:num w:numId="2" w16cid:durableId="1747921526">
    <w:abstractNumId w:val="8"/>
  </w:num>
  <w:num w:numId="3" w16cid:durableId="85295967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8748145">
    <w:abstractNumId w:val="4"/>
  </w:num>
  <w:num w:numId="5" w16cid:durableId="1553886304">
    <w:abstractNumId w:val="7"/>
  </w:num>
  <w:num w:numId="6" w16cid:durableId="1509102298">
    <w:abstractNumId w:val="1"/>
  </w:num>
  <w:num w:numId="7" w16cid:durableId="1531450061">
    <w:abstractNumId w:val="6"/>
  </w:num>
  <w:num w:numId="8" w16cid:durableId="1346596998">
    <w:abstractNumId w:val="2"/>
  </w:num>
  <w:num w:numId="9" w16cid:durableId="49391052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DateAndTime/>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fr-FR" w:vendorID="64" w:dllVersion="0" w:nlCheck="1" w:checkStyle="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E7E"/>
    <w:rsid w:val="00004063"/>
    <w:rsid w:val="00004156"/>
    <w:rsid w:val="00004A34"/>
    <w:rsid w:val="00006580"/>
    <w:rsid w:val="00006F9E"/>
    <w:rsid w:val="000123FA"/>
    <w:rsid w:val="00012BDC"/>
    <w:rsid w:val="00013ACB"/>
    <w:rsid w:val="000140C1"/>
    <w:rsid w:val="00014220"/>
    <w:rsid w:val="000143A9"/>
    <w:rsid w:val="00016C83"/>
    <w:rsid w:val="000212CC"/>
    <w:rsid w:val="00021B36"/>
    <w:rsid w:val="0002289A"/>
    <w:rsid w:val="000243EA"/>
    <w:rsid w:val="000255A8"/>
    <w:rsid w:val="000271C9"/>
    <w:rsid w:val="000309EA"/>
    <w:rsid w:val="000338FB"/>
    <w:rsid w:val="000345DC"/>
    <w:rsid w:val="00034B81"/>
    <w:rsid w:val="00035A49"/>
    <w:rsid w:val="00035D95"/>
    <w:rsid w:val="0003643C"/>
    <w:rsid w:val="00036EA7"/>
    <w:rsid w:val="000370F0"/>
    <w:rsid w:val="00037179"/>
    <w:rsid w:val="000407E6"/>
    <w:rsid w:val="00041267"/>
    <w:rsid w:val="000413DD"/>
    <w:rsid w:val="0004304D"/>
    <w:rsid w:val="000434CE"/>
    <w:rsid w:val="00043C93"/>
    <w:rsid w:val="00045300"/>
    <w:rsid w:val="00047954"/>
    <w:rsid w:val="00050339"/>
    <w:rsid w:val="000508A6"/>
    <w:rsid w:val="0005394B"/>
    <w:rsid w:val="00055899"/>
    <w:rsid w:val="00056767"/>
    <w:rsid w:val="000568C5"/>
    <w:rsid w:val="00057DB3"/>
    <w:rsid w:val="00060258"/>
    <w:rsid w:val="000602B2"/>
    <w:rsid w:val="0006067E"/>
    <w:rsid w:val="00063135"/>
    <w:rsid w:val="00063314"/>
    <w:rsid w:val="0006700A"/>
    <w:rsid w:val="000703DF"/>
    <w:rsid w:val="00070B04"/>
    <w:rsid w:val="000716F5"/>
    <w:rsid w:val="00071EFB"/>
    <w:rsid w:val="000728DD"/>
    <w:rsid w:val="00072A14"/>
    <w:rsid w:val="000746D2"/>
    <w:rsid w:val="00075210"/>
    <w:rsid w:val="00076A7C"/>
    <w:rsid w:val="00080567"/>
    <w:rsid w:val="00081256"/>
    <w:rsid w:val="000812DF"/>
    <w:rsid w:val="00081AF8"/>
    <w:rsid w:val="00082A7F"/>
    <w:rsid w:val="000839D7"/>
    <w:rsid w:val="00084080"/>
    <w:rsid w:val="00084738"/>
    <w:rsid w:val="0008504A"/>
    <w:rsid w:val="0008669A"/>
    <w:rsid w:val="00087999"/>
    <w:rsid w:val="00090123"/>
    <w:rsid w:val="00092A35"/>
    <w:rsid w:val="000948B1"/>
    <w:rsid w:val="000A212F"/>
    <w:rsid w:val="000A3A6E"/>
    <w:rsid w:val="000A3E8F"/>
    <w:rsid w:val="000A5419"/>
    <w:rsid w:val="000A5ACB"/>
    <w:rsid w:val="000A6355"/>
    <w:rsid w:val="000A6B2D"/>
    <w:rsid w:val="000A779B"/>
    <w:rsid w:val="000B3B19"/>
    <w:rsid w:val="000B4257"/>
    <w:rsid w:val="000B459A"/>
    <w:rsid w:val="000B49AA"/>
    <w:rsid w:val="000B5463"/>
    <w:rsid w:val="000B5C8E"/>
    <w:rsid w:val="000B7570"/>
    <w:rsid w:val="000B7E1F"/>
    <w:rsid w:val="000C1F7D"/>
    <w:rsid w:val="000C4BA2"/>
    <w:rsid w:val="000C66C1"/>
    <w:rsid w:val="000D14EA"/>
    <w:rsid w:val="000D199D"/>
    <w:rsid w:val="000D1C8B"/>
    <w:rsid w:val="000D47FF"/>
    <w:rsid w:val="000D6320"/>
    <w:rsid w:val="000D6BD3"/>
    <w:rsid w:val="000D6DE5"/>
    <w:rsid w:val="000D6E94"/>
    <w:rsid w:val="000D7093"/>
    <w:rsid w:val="000D753E"/>
    <w:rsid w:val="000E17B8"/>
    <w:rsid w:val="000E1B62"/>
    <w:rsid w:val="000E2119"/>
    <w:rsid w:val="000E2DEB"/>
    <w:rsid w:val="000E3133"/>
    <w:rsid w:val="000E36EB"/>
    <w:rsid w:val="000E3A5C"/>
    <w:rsid w:val="000E472C"/>
    <w:rsid w:val="000E476C"/>
    <w:rsid w:val="000E600E"/>
    <w:rsid w:val="000E6FEB"/>
    <w:rsid w:val="000E7C27"/>
    <w:rsid w:val="000E7D83"/>
    <w:rsid w:val="000F0D4B"/>
    <w:rsid w:val="000F2157"/>
    <w:rsid w:val="000F2247"/>
    <w:rsid w:val="000F273F"/>
    <w:rsid w:val="000F2805"/>
    <w:rsid w:val="000F3273"/>
    <w:rsid w:val="000F48F0"/>
    <w:rsid w:val="000F56C5"/>
    <w:rsid w:val="000F681C"/>
    <w:rsid w:val="00101BC5"/>
    <w:rsid w:val="001026D9"/>
    <w:rsid w:val="00102ED7"/>
    <w:rsid w:val="00103CA7"/>
    <w:rsid w:val="001045E0"/>
    <w:rsid w:val="00105063"/>
    <w:rsid w:val="0010656C"/>
    <w:rsid w:val="00106D65"/>
    <w:rsid w:val="00111290"/>
    <w:rsid w:val="0011534A"/>
    <w:rsid w:val="00116941"/>
    <w:rsid w:val="001205B9"/>
    <w:rsid w:val="00120B66"/>
    <w:rsid w:val="00120C68"/>
    <w:rsid w:val="00122948"/>
    <w:rsid w:val="0012466C"/>
    <w:rsid w:val="00124B48"/>
    <w:rsid w:val="001261F8"/>
    <w:rsid w:val="001274F7"/>
    <w:rsid w:val="00127D3B"/>
    <w:rsid w:val="001301FB"/>
    <w:rsid w:val="0013057A"/>
    <w:rsid w:val="00130E35"/>
    <w:rsid w:val="00131DC3"/>
    <w:rsid w:val="00133C09"/>
    <w:rsid w:val="001342E5"/>
    <w:rsid w:val="00134A22"/>
    <w:rsid w:val="001350A1"/>
    <w:rsid w:val="00135545"/>
    <w:rsid w:val="001356F6"/>
    <w:rsid w:val="0013618E"/>
    <w:rsid w:val="00136274"/>
    <w:rsid w:val="00136B15"/>
    <w:rsid w:val="00136D71"/>
    <w:rsid w:val="00136D91"/>
    <w:rsid w:val="001375BB"/>
    <w:rsid w:val="001407CD"/>
    <w:rsid w:val="001422E5"/>
    <w:rsid w:val="00142891"/>
    <w:rsid w:val="0014340B"/>
    <w:rsid w:val="001437A5"/>
    <w:rsid w:val="00144E9A"/>
    <w:rsid w:val="001463B5"/>
    <w:rsid w:val="00147601"/>
    <w:rsid w:val="0015027D"/>
    <w:rsid w:val="00150EE3"/>
    <w:rsid w:val="00151300"/>
    <w:rsid w:val="001516C2"/>
    <w:rsid w:val="00154E0D"/>
    <w:rsid w:val="0015515B"/>
    <w:rsid w:val="001551E2"/>
    <w:rsid w:val="001555AB"/>
    <w:rsid w:val="00155D73"/>
    <w:rsid w:val="00161922"/>
    <w:rsid w:val="00162C1E"/>
    <w:rsid w:val="0016536E"/>
    <w:rsid w:val="00166FFC"/>
    <w:rsid w:val="0017039C"/>
    <w:rsid w:val="00172756"/>
    <w:rsid w:val="00173882"/>
    <w:rsid w:val="001756A0"/>
    <w:rsid w:val="001778B5"/>
    <w:rsid w:val="0018037D"/>
    <w:rsid w:val="00180E03"/>
    <w:rsid w:val="0018194E"/>
    <w:rsid w:val="001839A0"/>
    <w:rsid w:val="00184804"/>
    <w:rsid w:val="00184BFB"/>
    <w:rsid w:val="00184F8A"/>
    <w:rsid w:val="00185628"/>
    <w:rsid w:val="00192713"/>
    <w:rsid w:val="001935C5"/>
    <w:rsid w:val="0019484C"/>
    <w:rsid w:val="0019640D"/>
    <w:rsid w:val="001973B3"/>
    <w:rsid w:val="00197687"/>
    <w:rsid w:val="001A11F2"/>
    <w:rsid w:val="001A1A2A"/>
    <w:rsid w:val="001A24BF"/>
    <w:rsid w:val="001A469A"/>
    <w:rsid w:val="001A74E0"/>
    <w:rsid w:val="001A78C9"/>
    <w:rsid w:val="001B17E7"/>
    <w:rsid w:val="001B4579"/>
    <w:rsid w:val="001B69E3"/>
    <w:rsid w:val="001B75E6"/>
    <w:rsid w:val="001C0EB5"/>
    <w:rsid w:val="001C16E1"/>
    <w:rsid w:val="001C1F14"/>
    <w:rsid w:val="001C448B"/>
    <w:rsid w:val="001C46E0"/>
    <w:rsid w:val="001C749F"/>
    <w:rsid w:val="001C76AA"/>
    <w:rsid w:val="001D1009"/>
    <w:rsid w:val="001D2107"/>
    <w:rsid w:val="001D24F0"/>
    <w:rsid w:val="001D374E"/>
    <w:rsid w:val="001D3D89"/>
    <w:rsid w:val="001D53A3"/>
    <w:rsid w:val="001D66F9"/>
    <w:rsid w:val="001E0C26"/>
    <w:rsid w:val="001E0C68"/>
    <w:rsid w:val="001E13F5"/>
    <w:rsid w:val="001E144E"/>
    <w:rsid w:val="001E33FE"/>
    <w:rsid w:val="001E3864"/>
    <w:rsid w:val="001E3EA8"/>
    <w:rsid w:val="001E428A"/>
    <w:rsid w:val="001E4FC2"/>
    <w:rsid w:val="001E6A05"/>
    <w:rsid w:val="001F0672"/>
    <w:rsid w:val="001F109E"/>
    <w:rsid w:val="001F6F36"/>
    <w:rsid w:val="002004AD"/>
    <w:rsid w:val="00202740"/>
    <w:rsid w:val="00202D3A"/>
    <w:rsid w:val="00203A37"/>
    <w:rsid w:val="002052E7"/>
    <w:rsid w:val="00206AC4"/>
    <w:rsid w:val="00211272"/>
    <w:rsid w:val="00212D2E"/>
    <w:rsid w:val="00213577"/>
    <w:rsid w:val="00213CF0"/>
    <w:rsid w:val="00213D95"/>
    <w:rsid w:val="00217377"/>
    <w:rsid w:val="00217577"/>
    <w:rsid w:val="00217880"/>
    <w:rsid w:val="00220103"/>
    <w:rsid w:val="00220FD6"/>
    <w:rsid w:val="00221CC5"/>
    <w:rsid w:val="0022271C"/>
    <w:rsid w:val="00223B41"/>
    <w:rsid w:val="002246EA"/>
    <w:rsid w:val="00224F91"/>
    <w:rsid w:val="002267E9"/>
    <w:rsid w:val="00226E89"/>
    <w:rsid w:val="00227C9D"/>
    <w:rsid w:val="002301BA"/>
    <w:rsid w:val="00230E53"/>
    <w:rsid w:val="0023746B"/>
    <w:rsid w:val="002436F1"/>
    <w:rsid w:val="00244593"/>
    <w:rsid w:val="0024518E"/>
    <w:rsid w:val="00245431"/>
    <w:rsid w:val="00246DCA"/>
    <w:rsid w:val="002472BA"/>
    <w:rsid w:val="00247BB5"/>
    <w:rsid w:val="00247C8E"/>
    <w:rsid w:val="00247D33"/>
    <w:rsid w:val="00250A5C"/>
    <w:rsid w:val="00250BFE"/>
    <w:rsid w:val="00251B2E"/>
    <w:rsid w:val="0025205A"/>
    <w:rsid w:val="00252826"/>
    <w:rsid w:val="002552A0"/>
    <w:rsid w:val="00255A6B"/>
    <w:rsid w:val="00255E57"/>
    <w:rsid w:val="00256AFA"/>
    <w:rsid w:val="00257FA7"/>
    <w:rsid w:val="00262757"/>
    <w:rsid w:val="00265C8A"/>
    <w:rsid w:val="00266479"/>
    <w:rsid w:val="002714F4"/>
    <w:rsid w:val="002719FE"/>
    <w:rsid w:val="00271AA1"/>
    <w:rsid w:val="00271B23"/>
    <w:rsid w:val="00271E94"/>
    <w:rsid w:val="00272C33"/>
    <w:rsid w:val="0027532D"/>
    <w:rsid w:val="00276243"/>
    <w:rsid w:val="00276575"/>
    <w:rsid w:val="0027677E"/>
    <w:rsid w:val="0027698C"/>
    <w:rsid w:val="002779FB"/>
    <w:rsid w:val="00280118"/>
    <w:rsid w:val="0028169B"/>
    <w:rsid w:val="00281D41"/>
    <w:rsid w:val="00282B9E"/>
    <w:rsid w:val="00285C5D"/>
    <w:rsid w:val="00286B69"/>
    <w:rsid w:val="00286D14"/>
    <w:rsid w:val="0028712E"/>
    <w:rsid w:val="00287A9A"/>
    <w:rsid w:val="00287F37"/>
    <w:rsid w:val="00291D5A"/>
    <w:rsid w:val="0029289D"/>
    <w:rsid w:val="00292AED"/>
    <w:rsid w:val="002944A8"/>
    <w:rsid w:val="0029542D"/>
    <w:rsid w:val="0029760E"/>
    <w:rsid w:val="00297C97"/>
    <w:rsid w:val="002A048B"/>
    <w:rsid w:val="002A08EF"/>
    <w:rsid w:val="002A102D"/>
    <w:rsid w:val="002A1F1F"/>
    <w:rsid w:val="002A4282"/>
    <w:rsid w:val="002A42EC"/>
    <w:rsid w:val="002A43F0"/>
    <w:rsid w:val="002A63F6"/>
    <w:rsid w:val="002A7BF3"/>
    <w:rsid w:val="002B062F"/>
    <w:rsid w:val="002B0AF2"/>
    <w:rsid w:val="002B1BE3"/>
    <w:rsid w:val="002B4395"/>
    <w:rsid w:val="002B48B7"/>
    <w:rsid w:val="002B51B2"/>
    <w:rsid w:val="002B70E7"/>
    <w:rsid w:val="002C1A2F"/>
    <w:rsid w:val="002C2571"/>
    <w:rsid w:val="002C263B"/>
    <w:rsid w:val="002C2D45"/>
    <w:rsid w:val="002C4F8E"/>
    <w:rsid w:val="002C5F71"/>
    <w:rsid w:val="002C63A5"/>
    <w:rsid w:val="002C7AE3"/>
    <w:rsid w:val="002D07B9"/>
    <w:rsid w:val="002D0F27"/>
    <w:rsid w:val="002D380A"/>
    <w:rsid w:val="002D5309"/>
    <w:rsid w:val="002D65AF"/>
    <w:rsid w:val="002E0DCC"/>
    <w:rsid w:val="002E16F0"/>
    <w:rsid w:val="002E1BE7"/>
    <w:rsid w:val="002E42D0"/>
    <w:rsid w:val="002E4483"/>
    <w:rsid w:val="002E52A8"/>
    <w:rsid w:val="002E58F7"/>
    <w:rsid w:val="002E6E71"/>
    <w:rsid w:val="002F0AE9"/>
    <w:rsid w:val="002F2360"/>
    <w:rsid w:val="002F238D"/>
    <w:rsid w:val="002F24B7"/>
    <w:rsid w:val="002F304F"/>
    <w:rsid w:val="002F398C"/>
    <w:rsid w:val="002F4A32"/>
    <w:rsid w:val="002F52B1"/>
    <w:rsid w:val="002F68DC"/>
    <w:rsid w:val="002F7914"/>
    <w:rsid w:val="002F7B18"/>
    <w:rsid w:val="003005D3"/>
    <w:rsid w:val="00300697"/>
    <w:rsid w:val="0030370B"/>
    <w:rsid w:val="0030604C"/>
    <w:rsid w:val="00306AE5"/>
    <w:rsid w:val="00307085"/>
    <w:rsid w:val="00307E2D"/>
    <w:rsid w:val="00311D17"/>
    <w:rsid w:val="00312415"/>
    <w:rsid w:val="003151C4"/>
    <w:rsid w:val="003168D2"/>
    <w:rsid w:val="00316D51"/>
    <w:rsid w:val="0031705C"/>
    <w:rsid w:val="003177E8"/>
    <w:rsid w:val="00317A2F"/>
    <w:rsid w:val="00321491"/>
    <w:rsid w:val="003229F9"/>
    <w:rsid w:val="00324663"/>
    <w:rsid w:val="0032498B"/>
    <w:rsid w:val="00325275"/>
    <w:rsid w:val="00325297"/>
    <w:rsid w:val="00325404"/>
    <w:rsid w:val="00325AEF"/>
    <w:rsid w:val="00330829"/>
    <w:rsid w:val="00330897"/>
    <w:rsid w:val="00332464"/>
    <w:rsid w:val="00332A14"/>
    <w:rsid w:val="003338EE"/>
    <w:rsid w:val="00333CC5"/>
    <w:rsid w:val="003344F0"/>
    <w:rsid w:val="00336C6B"/>
    <w:rsid w:val="00337876"/>
    <w:rsid w:val="00343AC1"/>
    <w:rsid w:val="00345D92"/>
    <w:rsid w:val="003473E4"/>
    <w:rsid w:val="00347744"/>
    <w:rsid w:val="00347BE0"/>
    <w:rsid w:val="0035021E"/>
    <w:rsid w:val="00351353"/>
    <w:rsid w:val="003518C6"/>
    <w:rsid w:val="003519A6"/>
    <w:rsid w:val="00351B5D"/>
    <w:rsid w:val="0035230A"/>
    <w:rsid w:val="0035261A"/>
    <w:rsid w:val="00352962"/>
    <w:rsid w:val="00354A72"/>
    <w:rsid w:val="0035715F"/>
    <w:rsid w:val="00357D65"/>
    <w:rsid w:val="003609A6"/>
    <w:rsid w:val="00362931"/>
    <w:rsid w:val="00365033"/>
    <w:rsid w:val="00365E44"/>
    <w:rsid w:val="00365F06"/>
    <w:rsid w:val="00366A72"/>
    <w:rsid w:val="00366FD3"/>
    <w:rsid w:val="00370019"/>
    <w:rsid w:val="0037072D"/>
    <w:rsid w:val="00372BB8"/>
    <w:rsid w:val="00372DD9"/>
    <w:rsid w:val="00375D70"/>
    <w:rsid w:val="00376311"/>
    <w:rsid w:val="003765E1"/>
    <w:rsid w:val="00376A37"/>
    <w:rsid w:val="0037769E"/>
    <w:rsid w:val="00377D14"/>
    <w:rsid w:val="00381F0E"/>
    <w:rsid w:val="00382DB1"/>
    <w:rsid w:val="00382E41"/>
    <w:rsid w:val="00383D58"/>
    <w:rsid w:val="00387923"/>
    <w:rsid w:val="0039142F"/>
    <w:rsid w:val="00392EF2"/>
    <w:rsid w:val="00393B91"/>
    <w:rsid w:val="00394123"/>
    <w:rsid w:val="003954A5"/>
    <w:rsid w:val="0039631E"/>
    <w:rsid w:val="003964A7"/>
    <w:rsid w:val="00396E42"/>
    <w:rsid w:val="0039700B"/>
    <w:rsid w:val="003977F3"/>
    <w:rsid w:val="00397DA3"/>
    <w:rsid w:val="003A3E11"/>
    <w:rsid w:val="003B021F"/>
    <w:rsid w:val="003B306D"/>
    <w:rsid w:val="003B35B9"/>
    <w:rsid w:val="003B6282"/>
    <w:rsid w:val="003B6611"/>
    <w:rsid w:val="003B6D62"/>
    <w:rsid w:val="003B72A8"/>
    <w:rsid w:val="003C4359"/>
    <w:rsid w:val="003C5BE2"/>
    <w:rsid w:val="003C7562"/>
    <w:rsid w:val="003D2A78"/>
    <w:rsid w:val="003D2CC9"/>
    <w:rsid w:val="003D31E7"/>
    <w:rsid w:val="003D727A"/>
    <w:rsid w:val="003E127D"/>
    <w:rsid w:val="003E2891"/>
    <w:rsid w:val="003E29DA"/>
    <w:rsid w:val="003E3BBB"/>
    <w:rsid w:val="003E3F77"/>
    <w:rsid w:val="003E4814"/>
    <w:rsid w:val="003E54B7"/>
    <w:rsid w:val="003E5CAF"/>
    <w:rsid w:val="003F0562"/>
    <w:rsid w:val="003F174D"/>
    <w:rsid w:val="003F482D"/>
    <w:rsid w:val="003F49E3"/>
    <w:rsid w:val="003F57AD"/>
    <w:rsid w:val="003F67B7"/>
    <w:rsid w:val="00400B6C"/>
    <w:rsid w:val="00400CCB"/>
    <w:rsid w:val="004012DB"/>
    <w:rsid w:val="0040306C"/>
    <w:rsid w:val="0040356C"/>
    <w:rsid w:val="00406DBB"/>
    <w:rsid w:val="00412D6E"/>
    <w:rsid w:val="00412E2A"/>
    <w:rsid w:val="00414452"/>
    <w:rsid w:val="004145E0"/>
    <w:rsid w:val="00415004"/>
    <w:rsid w:val="00415DAA"/>
    <w:rsid w:val="00420445"/>
    <w:rsid w:val="00420E8E"/>
    <w:rsid w:val="00421048"/>
    <w:rsid w:val="00423B0A"/>
    <w:rsid w:val="00425666"/>
    <w:rsid w:val="004256D7"/>
    <w:rsid w:val="00427358"/>
    <w:rsid w:val="004277D0"/>
    <w:rsid w:val="00430FFC"/>
    <w:rsid w:val="00431FD3"/>
    <w:rsid w:val="004324F1"/>
    <w:rsid w:val="00432930"/>
    <w:rsid w:val="0043313D"/>
    <w:rsid w:val="004331B7"/>
    <w:rsid w:val="004420F1"/>
    <w:rsid w:val="004422E4"/>
    <w:rsid w:val="004429E3"/>
    <w:rsid w:val="00443597"/>
    <w:rsid w:val="004468CD"/>
    <w:rsid w:val="00447865"/>
    <w:rsid w:val="004509B2"/>
    <w:rsid w:val="00450AAF"/>
    <w:rsid w:val="00451B77"/>
    <w:rsid w:val="004523B0"/>
    <w:rsid w:val="0045323B"/>
    <w:rsid w:val="00453666"/>
    <w:rsid w:val="00454030"/>
    <w:rsid w:val="00454357"/>
    <w:rsid w:val="0045503B"/>
    <w:rsid w:val="00456031"/>
    <w:rsid w:val="004561DD"/>
    <w:rsid w:val="0045698D"/>
    <w:rsid w:val="00456D66"/>
    <w:rsid w:val="004573FB"/>
    <w:rsid w:val="00461C69"/>
    <w:rsid w:val="00462BEA"/>
    <w:rsid w:val="00463ACE"/>
    <w:rsid w:val="004640AB"/>
    <w:rsid w:val="0046486A"/>
    <w:rsid w:val="00466109"/>
    <w:rsid w:val="00466C57"/>
    <w:rsid w:val="00470F4E"/>
    <w:rsid w:val="0047132B"/>
    <w:rsid w:val="0047186C"/>
    <w:rsid w:val="00472FB4"/>
    <w:rsid w:val="004775C9"/>
    <w:rsid w:val="00477783"/>
    <w:rsid w:val="004818ED"/>
    <w:rsid w:val="00481BA6"/>
    <w:rsid w:val="00482068"/>
    <w:rsid w:val="00482320"/>
    <w:rsid w:val="00483DA9"/>
    <w:rsid w:val="004842A1"/>
    <w:rsid w:val="0048542D"/>
    <w:rsid w:val="004861B5"/>
    <w:rsid w:val="0048687C"/>
    <w:rsid w:val="0049099A"/>
    <w:rsid w:val="00491C58"/>
    <w:rsid w:val="0049279D"/>
    <w:rsid w:val="00493E70"/>
    <w:rsid w:val="00494F21"/>
    <w:rsid w:val="00495403"/>
    <w:rsid w:val="00495C36"/>
    <w:rsid w:val="00496948"/>
    <w:rsid w:val="00496FA5"/>
    <w:rsid w:val="00497D12"/>
    <w:rsid w:val="004A2FBF"/>
    <w:rsid w:val="004A4180"/>
    <w:rsid w:val="004A4396"/>
    <w:rsid w:val="004A4A09"/>
    <w:rsid w:val="004A610C"/>
    <w:rsid w:val="004A7567"/>
    <w:rsid w:val="004B0B62"/>
    <w:rsid w:val="004B0B9A"/>
    <w:rsid w:val="004B1787"/>
    <w:rsid w:val="004B187C"/>
    <w:rsid w:val="004B1CFA"/>
    <w:rsid w:val="004B214D"/>
    <w:rsid w:val="004B259F"/>
    <w:rsid w:val="004B36DE"/>
    <w:rsid w:val="004B4B14"/>
    <w:rsid w:val="004B58D2"/>
    <w:rsid w:val="004B5B33"/>
    <w:rsid w:val="004C1A2C"/>
    <w:rsid w:val="004C2EE1"/>
    <w:rsid w:val="004C2F6C"/>
    <w:rsid w:val="004C4D07"/>
    <w:rsid w:val="004C4E87"/>
    <w:rsid w:val="004C5496"/>
    <w:rsid w:val="004C556E"/>
    <w:rsid w:val="004C5F2E"/>
    <w:rsid w:val="004C5F8F"/>
    <w:rsid w:val="004C63D7"/>
    <w:rsid w:val="004C7058"/>
    <w:rsid w:val="004C743E"/>
    <w:rsid w:val="004D05FD"/>
    <w:rsid w:val="004D10DC"/>
    <w:rsid w:val="004D2EC8"/>
    <w:rsid w:val="004D3C38"/>
    <w:rsid w:val="004D3F9C"/>
    <w:rsid w:val="004D4C7A"/>
    <w:rsid w:val="004D5EE2"/>
    <w:rsid w:val="004D6182"/>
    <w:rsid w:val="004E0DB6"/>
    <w:rsid w:val="004E118E"/>
    <w:rsid w:val="004E2F4F"/>
    <w:rsid w:val="004E3CC5"/>
    <w:rsid w:val="004E625C"/>
    <w:rsid w:val="004E6E31"/>
    <w:rsid w:val="004E747D"/>
    <w:rsid w:val="004E7A98"/>
    <w:rsid w:val="004F206C"/>
    <w:rsid w:val="004F2FEF"/>
    <w:rsid w:val="004F4601"/>
    <w:rsid w:val="004F4997"/>
    <w:rsid w:val="004F5AA8"/>
    <w:rsid w:val="004F60F7"/>
    <w:rsid w:val="004F62AD"/>
    <w:rsid w:val="004F6B8C"/>
    <w:rsid w:val="00500961"/>
    <w:rsid w:val="00501F41"/>
    <w:rsid w:val="00506438"/>
    <w:rsid w:val="005076F9"/>
    <w:rsid w:val="00507850"/>
    <w:rsid w:val="00507C67"/>
    <w:rsid w:val="00507FD4"/>
    <w:rsid w:val="00510879"/>
    <w:rsid w:val="0051151D"/>
    <w:rsid w:val="00511A52"/>
    <w:rsid w:val="00511F2D"/>
    <w:rsid w:val="005121D9"/>
    <w:rsid w:val="005125E0"/>
    <w:rsid w:val="00513B3D"/>
    <w:rsid w:val="00513F61"/>
    <w:rsid w:val="005151D9"/>
    <w:rsid w:val="00515985"/>
    <w:rsid w:val="005173D6"/>
    <w:rsid w:val="005178AF"/>
    <w:rsid w:val="00517F5E"/>
    <w:rsid w:val="00517F89"/>
    <w:rsid w:val="00517F91"/>
    <w:rsid w:val="005213FA"/>
    <w:rsid w:val="00523100"/>
    <w:rsid w:val="005232A3"/>
    <w:rsid w:val="0052353A"/>
    <w:rsid w:val="00525C7E"/>
    <w:rsid w:val="005268C9"/>
    <w:rsid w:val="00526D1C"/>
    <w:rsid w:val="00530343"/>
    <w:rsid w:val="00531B5F"/>
    <w:rsid w:val="0053227D"/>
    <w:rsid w:val="00534C47"/>
    <w:rsid w:val="005358A6"/>
    <w:rsid w:val="005358D3"/>
    <w:rsid w:val="00535966"/>
    <w:rsid w:val="00537576"/>
    <w:rsid w:val="00537C4E"/>
    <w:rsid w:val="00541DE9"/>
    <w:rsid w:val="0054642B"/>
    <w:rsid w:val="00546523"/>
    <w:rsid w:val="00546E34"/>
    <w:rsid w:val="00546F26"/>
    <w:rsid w:val="005506B4"/>
    <w:rsid w:val="00550B38"/>
    <w:rsid w:val="00552498"/>
    <w:rsid w:val="00553EB2"/>
    <w:rsid w:val="0055401F"/>
    <w:rsid w:val="005545FC"/>
    <w:rsid w:val="00554D05"/>
    <w:rsid w:val="00555DDF"/>
    <w:rsid w:val="00556025"/>
    <w:rsid w:val="00556032"/>
    <w:rsid w:val="00557465"/>
    <w:rsid w:val="00557FF6"/>
    <w:rsid w:val="00562789"/>
    <w:rsid w:val="00563625"/>
    <w:rsid w:val="00563689"/>
    <w:rsid w:val="005638E6"/>
    <w:rsid w:val="005652BF"/>
    <w:rsid w:val="00566EFA"/>
    <w:rsid w:val="00570668"/>
    <w:rsid w:val="005709CD"/>
    <w:rsid w:val="00570B68"/>
    <w:rsid w:val="00570C63"/>
    <w:rsid w:val="005752C3"/>
    <w:rsid w:val="0057641F"/>
    <w:rsid w:val="00576B56"/>
    <w:rsid w:val="005801C0"/>
    <w:rsid w:val="00580DA3"/>
    <w:rsid w:val="00582510"/>
    <w:rsid w:val="00582C44"/>
    <w:rsid w:val="00584E61"/>
    <w:rsid w:val="005869E9"/>
    <w:rsid w:val="005872BE"/>
    <w:rsid w:val="00587A49"/>
    <w:rsid w:val="00590490"/>
    <w:rsid w:val="005915AE"/>
    <w:rsid w:val="005917A4"/>
    <w:rsid w:val="00594B78"/>
    <w:rsid w:val="00594D24"/>
    <w:rsid w:val="005A173E"/>
    <w:rsid w:val="005A236D"/>
    <w:rsid w:val="005A2CDF"/>
    <w:rsid w:val="005A33DD"/>
    <w:rsid w:val="005A5E43"/>
    <w:rsid w:val="005A62FF"/>
    <w:rsid w:val="005A6597"/>
    <w:rsid w:val="005A7A78"/>
    <w:rsid w:val="005B09AC"/>
    <w:rsid w:val="005B2AA7"/>
    <w:rsid w:val="005B309C"/>
    <w:rsid w:val="005B3714"/>
    <w:rsid w:val="005B3CEC"/>
    <w:rsid w:val="005B53B4"/>
    <w:rsid w:val="005B58A0"/>
    <w:rsid w:val="005B615F"/>
    <w:rsid w:val="005B66CF"/>
    <w:rsid w:val="005B6A5F"/>
    <w:rsid w:val="005B6A73"/>
    <w:rsid w:val="005B79B8"/>
    <w:rsid w:val="005C1D99"/>
    <w:rsid w:val="005C200C"/>
    <w:rsid w:val="005C2DF9"/>
    <w:rsid w:val="005C2FB0"/>
    <w:rsid w:val="005C33A1"/>
    <w:rsid w:val="005C3E48"/>
    <w:rsid w:val="005C4FB5"/>
    <w:rsid w:val="005C6AC2"/>
    <w:rsid w:val="005C6F14"/>
    <w:rsid w:val="005C7249"/>
    <w:rsid w:val="005C79D3"/>
    <w:rsid w:val="005D21D3"/>
    <w:rsid w:val="005D26F7"/>
    <w:rsid w:val="005D40B3"/>
    <w:rsid w:val="005D5C2C"/>
    <w:rsid w:val="005D62D0"/>
    <w:rsid w:val="005D6DD0"/>
    <w:rsid w:val="005D78EB"/>
    <w:rsid w:val="005E165E"/>
    <w:rsid w:val="005E1FE3"/>
    <w:rsid w:val="005E4DDB"/>
    <w:rsid w:val="005E709B"/>
    <w:rsid w:val="005F025B"/>
    <w:rsid w:val="005F0EB3"/>
    <w:rsid w:val="005F13DF"/>
    <w:rsid w:val="00600E4D"/>
    <w:rsid w:val="006020C2"/>
    <w:rsid w:val="006035C9"/>
    <w:rsid w:val="00603FD2"/>
    <w:rsid w:val="00605CB5"/>
    <w:rsid w:val="00610265"/>
    <w:rsid w:val="00610B8A"/>
    <w:rsid w:val="00612319"/>
    <w:rsid w:val="0061273B"/>
    <w:rsid w:val="00612F23"/>
    <w:rsid w:val="00613B77"/>
    <w:rsid w:val="00614240"/>
    <w:rsid w:val="00614E7C"/>
    <w:rsid w:val="00616CFA"/>
    <w:rsid w:val="0062055E"/>
    <w:rsid w:val="00620D98"/>
    <w:rsid w:val="00620FB2"/>
    <w:rsid w:val="00623AEE"/>
    <w:rsid w:val="00623F5C"/>
    <w:rsid w:val="0062498B"/>
    <w:rsid w:val="00624A30"/>
    <w:rsid w:val="00625481"/>
    <w:rsid w:val="00625660"/>
    <w:rsid w:val="00630733"/>
    <w:rsid w:val="00632612"/>
    <w:rsid w:val="00632FD5"/>
    <w:rsid w:val="00635A47"/>
    <w:rsid w:val="0063618F"/>
    <w:rsid w:val="006409EB"/>
    <w:rsid w:val="0064232F"/>
    <w:rsid w:val="00642456"/>
    <w:rsid w:val="00643764"/>
    <w:rsid w:val="00643ACD"/>
    <w:rsid w:val="00643BBE"/>
    <w:rsid w:val="00643D5F"/>
    <w:rsid w:val="00644360"/>
    <w:rsid w:val="006458E3"/>
    <w:rsid w:val="00647234"/>
    <w:rsid w:val="00650E71"/>
    <w:rsid w:val="00653D65"/>
    <w:rsid w:val="006549C4"/>
    <w:rsid w:val="00655823"/>
    <w:rsid w:val="00657329"/>
    <w:rsid w:val="00657ECD"/>
    <w:rsid w:val="00657FBA"/>
    <w:rsid w:val="00660CD8"/>
    <w:rsid w:val="0066105A"/>
    <w:rsid w:val="00661B87"/>
    <w:rsid w:val="0066224A"/>
    <w:rsid w:val="00665B80"/>
    <w:rsid w:val="00665C33"/>
    <w:rsid w:val="00665C34"/>
    <w:rsid w:val="006670D1"/>
    <w:rsid w:val="00671DF9"/>
    <w:rsid w:val="00674789"/>
    <w:rsid w:val="00674B95"/>
    <w:rsid w:val="00676462"/>
    <w:rsid w:val="00681584"/>
    <w:rsid w:val="00681AE3"/>
    <w:rsid w:val="006835C6"/>
    <w:rsid w:val="00683C4C"/>
    <w:rsid w:val="006842AD"/>
    <w:rsid w:val="00685FCD"/>
    <w:rsid w:val="0068790D"/>
    <w:rsid w:val="00687C01"/>
    <w:rsid w:val="006902D2"/>
    <w:rsid w:val="00690716"/>
    <w:rsid w:val="00691139"/>
    <w:rsid w:val="006915D3"/>
    <w:rsid w:val="0069397D"/>
    <w:rsid w:val="006944D9"/>
    <w:rsid w:val="00695068"/>
    <w:rsid w:val="00695851"/>
    <w:rsid w:val="00696913"/>
    <w:rsid w:val="006A0248"/>
    <w:rsid w:val="006A18CB"/>
    <w:rsid w:val="006A2AAD"/>
    <w:rsid w:val="006A2F70"/>
    <w:rsid w:val="006A5800"/>
    <w:rsid w:val="006A624A"/>
    <w:rsid w:val="006A741F"/>
    <w:rsid w:val="006A7786"/>
    <w:rsid w:val="006B1CBC"/>
    <w:rsid w:val="006B2D1E"/>
    <w:rsid w:val="006B34BD"/>
    <w:rsid w:val="006B3B52"/>
    <w:rsid w:val="006B417D"/>
    <w:rsid w:val="006C0008"/>
    <w:rsid w:val="006C0731"/>
    <w:rsid w:val="006C0CC6"/>
    <w:rsid w:val="006C1BF2"/>
    <w:rsid w:val="006C338B"/>
    <w:rsid w:val="006C3F7A"/>
    <w:rsid w:val="006C54C6"/>
    <w:rsid w:val="006C56EF"/>
    <w:rsid w:val="006C5D69"/>
    <w:rsid w:val="006C5E08"/>
    <w:rsid w:val="006C5EAD"/>
    <w:rsid w:val="006C7CBA"/>
    <w:rsid w:val="006D0188"/>
    <w:rsid w:val="006D0720"/>
    <w:rsid w:val="006D0A14"/>
    <w:rsid w:val="006D0DFA"/>
    <w:rsid w:val="006D21F0"/>
    <w:rsid w:val="006D31DA"/>
    <w:rsid w:val="006D3E32"/>
    <w:rsid w:val="006D790F"/>
    <w:rsid w:val="006E1B6A"/>
    <w:rsid w:val="006E289B"/>
    <w:rsid w:val="006E2FBA"/>
    <w:rsid w:val="006E4B7F"/>
    <w:rsid w:val="006E54EE"/>
    <w:rsid w:val="006E7C8F"/>
    <w:rsid w:val="006F0166"/>
    <w:rsid w:val="006F0346"/>
    <w:rsid w:val="006F1C0F"/>
    <w:rsid w:val="006F2478"/>
    <w:rsid w:val="006F4266"/>
    <w:rsid w:val="006F4707"/>
    <w:rsid w:val="00700234"/>
    <w:rsid w:val="007004B9"/>
    <w:rsid w:val="00700710"/>
    <w:rsid w:val="00700A8C"/>
    <w:rsid w:val="00701CE7"/>
    <w:rsid w:val="0070276D"/>
    <w:rsid w:val="00702994"/>
    <w:rsid w:val="00703906"/>
    <w:rsid w:val="0070439B"/>
    <w:rsid w:val="007043DE"/>
    <w:rsid w:val="007071C3"/>
    <w:rsid w:val="007072BB"/>
    <w:rsid w:val="00707973"/>
    <w:rsid w:val="00710819"/>
    <w:rsid w:val="00711B0A"/>
    <w:rsid w:val="00713C70"/>
    <w:rsid w:val="007144DD"/>
    <w:rsid w:val="00714533"/>
    <w:rsid w:val="0072005B"/>
    <w:rsid w:val="00722B9D"/>
    <w:rsid w:val="007238AD"/>
    <w:rsid w:val="00731380"/>
    <w:rsid w:val="00731F77"/>
    <w:rsid w:val="00732883"/>
    <w:rsid w:val="00732E91"/>
    <w:rsid w:val="00734100"/>
    <w:rsid w:val="00740428"/>
    <w:rsid w:val="007418DA"/>
    <w:rsid w:val="00743104"/>
    <w:rsid w:val="00746006"/>
    <w:rsid w:val="00747B30"/>
    <w:rsid w:val="00747DDC"/>
    <w:rsid w:val="00750E76"/>
    <w:rsid w:val="00751CDB"/>
    <w:rsid w:val="007534FD"/>
    <w:rsid w:val="00754050"/>
    <w:rsid w:val="007542A0"/>
    <w:rsid w:val="00754CF6"/>
    <w:rsid w:val="00755149"/>
    <w:rsid w:val="00755E48"/>
    <w:rsid w:val="007566DA"/>
    <w:rsid w:val="0075672D"/>
    <w:rsid w:val="00757BB9"/>
    <w:rsid w:val="00760E09"/>
    <w:rsid w:val="0076460E"/>
    <w:rsid w:val="007646C6"/>
    <w:rsid w:val="007649D0"/>
    <w:rsid w:val="00765293"/>
    <w:rsid w:val="00766978"/>
    <w:rsid w:val="00766E9A"/>
    <w:rsid w:val="0076702E"/>
    <w:rsid w:val="00770129"/>
    <w:rsid w:val="0077088B"/>
    <w:rsid w:val="007708BF"/>
    <w:rsid w:val="00771BA7"/>
    <w:rsid w:val="00772056"/>
    <w:rsid w:val="0077468E"/>
    <w:rsid w:val="0077654F"/>
    <w:rsid w:val="00777255"/>
    <w:rsid w:val="00777E06"/>
    <w:rsid w:val="00777E50"/>
    <w:rsid w:val="00780319"/>
    <w:rsid w:val="007807CD"/>
    <w:rsid w:val="00780919"/>
    <w:rsid w:val="007816B6"/>
    <w:rsid w:val="0078385E"/>
    <w:rsid w:val="007848FE"/>
    <w:rsid w:val="007857E5"/>
    <w:rsid w:val="00786DC5"/>
    <w:rsid w:val="00787187"/>
    <w:rsid w:val="007872E2"/>
    <w:rsid w:val="00787DAF"/>
    <w:rsid w:val="00790D47"/>
    <w:rsid w:val="00791D7C"/>
    <w:rsid w:val="00791EC0"/>
    <w:rsid w:val="00792162"/>
    <w:rsid w:val="00794E10"/>
    <w:rsid w:val="0079526F"/>
    <w:rsid w:val="007A14A0"/>
    <w:rsid w:val="007A1B1E"/>
    <w:rsid w:val="007A1EE5"/>
    <w:rsid w:val="007A23D2"/>
    <w:rsid w:val="007A28C0"/>
    <w:rsid w:val="007A3BEA"/>
    <w:rsid w:val="007A4A48"/>
    <w:rsid w:val="007A613C"/>
    <w:rsid w:val="007B0887"/>
    <w:rsid w:val="007B0D93"/>
    <w:rsid w:val="007B1CC2"/>
    <w:rsid w:val="007B4941"/>
    <w:rsid w:val="007B540E"/>
    <w:rsid w:val="007B6255"/>
    <w:rsid w:val="007B6C7F"/>
    <w:rsid w:val="007B7F40"/>
    <w:rsid w:val="007C2C12"/>
    <w:rsid w:val="007C3884"/>
    <w:rsid w:val="007C3CEC"/>
    <w:rsid w:val="007C42D4"/>
    <w:rsid w:val="007C45C6"/>
    <w:rsid w:val="007C4E81"/>
    <w:rsid w:val="007C59E3"/>
    <w:rsid w:val="007C746F"/>
    <w:rsid w:val="007C79C8"/>
    <w:rsid w:val="007D0575"/>
    <w:rsid w:val="007D100B"/>
    <w:rsid w:val="007D3237"/>
    <w:rsid w:val="007D3C5A"/>
    <w:rsid w:val="007D55AA"/>
    <w:rsid w:val="007D584D"/>
    <w:rsid w:val="007D595E"/>
    <w:rsid w:val="007D70EB"/>
    <w:rsid w:val="007D71C2"/>
    <w:rsid w:val="007E0A17"/>
    <w:rsid w:val="007E0BA1"/>
    <w:rsid w:val="007E0C88"/>
    <w:rsid w:val="007E184E"/>
    <w:rsid w:val="007E298C"/>
    <w:rsid w:val="007E5AC5"/>
    <w:rsid w:val="007E7263"/>
    <w:rsid w:val="007F0057"/>
    <w:rsid w:val="007F0861"/>
    <w:rsid w:val="007F0D57"/>
    <w:rsid w:val="007F0D7C"/>
    <w:rsid w:val="007F2EA7"/>
    <w:rsid w:val="007F3FDA"/>
    <w:rsid w:val="007F424A"/>
    <w:rsid w:val="007F46FC"/>
    <w:rsid w:val="007F4F68"/>
    <w:rsid w:val="0080067F"/>
    <w:rsid w:val="00800B72"/>
    <w:rsid w:val="00800CAB"/>
    <w:rsid w:val="00801C22"/>
    <w:rsid w:val="00804D03"/>
    <w:rsid w:val="00805CDB"/>
    <w:rsid w:val="00807309"/>
    <w:rsid w:val="0080748B"/>
    <w:rsid w:val="00807E88"/>
    <w:rsid w:val="00811C39"/>
    <w:rsid w:val="0081205E"/>
    <w:rsid w:val="008120E6"/>
    <w:rsid w:val="00812673"/>
    <w:rsid w:val="008129CB"/>
    <w:rsid w:val="008140FF"/>
    <w:rsid w:val="008157B8"/>
    <w:rsid w:val="008212F9"/>
    <w:rsid w:val="008237D6"/>
    <w:rsid w:val="00825B21"/>
    <w:rsid w:val="008261A9"/>
    <w:rsid w:val="00826527"/>
    <w:rsid w:val="00826BB4"/>
    <w:rsid w:val="00826BD3"/>
    <w:rsid w:val="00831997"/>
    <w:rsid w:val="00832A8B"/>
    <w:rsid w:val="00833C0E"/>
    <w:rsid w:val="00834933"/>
    <w:rsid w:val="008357CA"/>
    <w:rsid w:val="008362A5"/>
    <w:rsid w:val="00836BA5"/>
    <w:rsid w:val="00836F83"/>
    <w:rsid w:val="0083759E"/>
    <w:rsid w:val="0084039D"/>
    <w:rsid w:val="008406B7"/>
    <w:rsid w:val="008430EE"/>
    <w:rsid w:val="00844ED0"/>
    <w:rsid w:val="0084594A"/>
    <w:rsid w:val="008460FC"/>
    <w:rsid w:val="00847139"/>
    <w:rsid w:val="008504A6"/>
    <w:rsid w:val="00850BF9"/>
    <w:rsid w:val="00851495"/>
    <w:rsid w:val="0085161E"/>
    <w:rsid w:val="00852255"/>
    <w:rsid w:val="008525ED"/>
    <w:rsid w:val="0085331D"/>
    <w:rsid w:val="008573F2"/>
    <w:rsid w:val="00857720"/>
    <w:rsid w:val="00860559"/>
    <w:rsid w:val="0086114D"/>
    <w:rsid w:val="0086427F"/>
    <w:rsid w:val="00865DB0"/>
    <w:rsid w:val="00871CA4"/>
    <w:rsid w:val="00872500"/>
    <w:rsid w:val="00872572"/>
    <w:rsid w:val="00872CFB"/>
    <w:rsid w:val="00873CF6"/>
    <w:rsid w:val="00874962"/>
    <w:rsid w:val="00874EDA"/>
    <w:rsid w:val="00875896"/>
    <w:rsid w:val="00876B37"/>
    <w:rsid w:val="00880075"/>
    <w:rsid w:val="0088121D"/>
    <w:rsid w:val="0088162D"/>
    <w:rsid w:val="00881B4F"/>
    <w:rsid w:val="00887F2D"/>
    <w:rsid w:val="00891A19"/>
    <w:rsid w:val="00891AB3"/>
    <w:rsid w:val="00892942"/>
    <w:rsid w:val="008934FE"/>
    <w:rsid w:val="00895E9F"/>
    <w:rsid w:val="008968F3"/>
    <w:rsid w:val="00897AFE"/>
    <w:rsid w:val="0089ED59"/>
    <w:rsid w:val="008A0593"/>
    <w:rsid w:val="008A19DD"/>
    <w:rsid w:val="008A1C12"/>
    <w:rsid w:val="008A3D4E"/>
    <w:rsid w:val="008A5210"/>
    <w:rsid w:val="008B0025"/>
    <w:rsid w:val="008B44C5"/>
    <w:rsid w:val="008B535F"/>
    <w:rsid w:val="008C0117"/>
    <w:rsid w:val="008C05C5"/>
    <w:rsid w:val="008C0F45"/>
    <w:rsid w:val="008C196C"/>
    <w:rsid w:val="008C64D0"/>
    <w:rsid w:val="008C7F1E"/>
    <w:rsid w:val="008D1562"/>
    <w:rsid w:val="008D2802"/>
    <w:rsid w:val="008D587A"/>
    <w:rsid w:val="008E1EF9"/>
    <w:rsid w:val="008E255C"/>
    <w:rsid w:val="008E3CD5"/>
    <w:rsid w:val="008E78C2"/>
    <w:rsid w:val="008F0238"/>
    <w:rsid w:val="008F0375"/>
    <w:rsid w:val="008F14EA"/>
    <w:rsid w:val="008F21CE"/>
    <w:rsid w:val="008F291D"/>
    <w:rsid w:val="008F2F39"/>
    <w:rsid w:val="008F30EA"/>
    <w:rsid w:val="008F3ECE"/>
    <w:rsid w:val="008F3F58"/>
    <w:rsid w:val="008F4CAE"/>
    <w:rsid w:val="008F53DE"/>
    <w:rsid w:val="008F7581"/>
    <w:rsid w:val="00901966"/>
    <w:rsid w:val="009038D7"/>
    <w:rsid w:val="00903A4B"/>
    <w:rsid w:val="00903B5F"/>
    <w:rsid w:val="00904A4E"/>
    <w:rsid w:val="00905992"/>
    <w:rsid w:val="0090643A"/>
    <w:rsid w:val="0090763A"/>
    <w:rsid w:val="00910A69"/>
    <w:rsid w:val="00910E4B"/>
    <w:rsid w:val="009117D0"/>
    <w:rsid w:val="00912278"/>
    <w:rsid w:val="00912F7C"/>
    <w:rsid w:val="00913961"/>
    <w:rsid w:val="009146D5"/>
    <w:rsid w:val="009154B2"/>
    <w:rsid w:val="00915A88"/>
    <w:rsid w:val="00916AEE"/>
    <w:rsid w:val="00916BD9"/>
    <w:rsid w:val="00917832"/>
    <w:rsid w:val="00922747"/>
    <w:rsid w:val="009242F6"/>
    <w:rsid w:val="00924BDB"/>
    <w:rsid w:val="00925C8F"/>
    <w:rsid w:val="00925E0B"/>
    <w:rsid w:val="00927159"/>
    <w:rsid w:val="009271E4"/>
    <w:rsid w:val="009273A4"/>
    <w:rsid w:val="00927E4E"/>
    <w:rsid w:val="00931018"/>
    <w:rsid w:val="00931BA3"/>
    <w:rsid w:val="00931CD6"/>
    <w:rsid w:val="00932B95"/>
    <w:rsid w:val="009333D5"/>
    <w:rsid w:val="009374FF"/>
    <w:rsid w:val="00940CFE"/>
    <w:rsid w:val="009443E8"/>
    <w:rsid w:val="00945176"/>
    <w:rsid w:val="00945641"/>
    <w:rsid w:val="00946A22"/>
    <w:rsid w:val="00947AD8"/>
    <w:rsid w:val="00950218"/>
    <w:rsid w:val="009524DA"/>
    <w:rsid w:val="00953351"/>
    <w:rsid w:val="00953AE1"/>
    <w:rsid w:val="009543BE"/>
    <w:rsid w:val="0095454A"/>
    <w:rsid w:val="00954D10"/>
    <w:rsid w:val="00961B28"/>
    <w:rsid w:val="0096202B"/>
    <w:rsid w:val="0096321C"/>
    <w:rsid w:val="009635EC"/>
    <w:rsid w:val="009642DB"/>
    <w:rsid w:val="00964CC5"/>
    <w:rsid w:val="00965058"/>
    <w:rsid w:val="009652B2"/>
    <w:rsid w:val="00966978"/>
    <w:rsid w:val="00966E32"/>
    <w:rsid w:val="00967E7E"/>
    <w:rsid w:val="0097012E"/>
    <w:rsid w:val="009702B9"/>
    <w:rsid w:val="00971A4D"/>
    <w:rsid w:val="00971A5D"/>
    <w:rsid w:val="00972EE6"/>
    <w:rsid w:val="00973190"/>
    <w:rsid w:val="0097322C"/>
    <w:rsid w:val="009737F8"/>
    <w:rsid w:val="009751F6"/>
    <w:rsid w:val="0097620A"/>
    <w:rsid w:val="00976D05"/>
    <w:rsid w:val="00977254"/>
    <w:rsid w:val="00980660"/>
    <w:rsid w:val="00980735"/>
    <w:rsid w:val="00980892"/>
    <w:rsid w:val="00980CBC"/>
    <w:rsid w:val="00981175"/>
    <w:rsid w:val="0098340E"/>
    <w:rsid w:val="0098346A"/>
    <w:rsid w:val="00983A8B"/>
    <w:rsid w:val="009841FA"/>
    <w:rsid w:val="00984404"/>
    <w:rsid w:val="00985733"/>
    <w:rsid w:val="00987ED9"/>
    <w:rsid w:val="009904F6"/>
    <w:rsid w:val="00990A6A"/>
    <w:rsid w:val="009910C9"/>
    <w:rsid w:val="009938F5"/>
    <w:rsid w:val="00993DD4"/>
    <w:rsid w:val="00993DDE"/>
    <w:rsid w:val="00994F07"/>
    <w:rsid w:val="00996D0D"/>
    <w:rsid w:val="0099789B"/>
    <w:rsid w:val="009A0350"/>
    <w:rsid w:val="009A0DE2"/>
    <w:rsid w:val="009A0FD5"/>
    <w:rsid w:val="009A23FA"/>
    <w:rsid w:val="009A25BD"/>
    <w:rsid w:val="009A27B9"/>
    <w:rsid w:val="009A357B"/>
    <w:rsid w:val="009A5046"/>
    <w:rsid w:val="009A7650"/>
    <w:rsid w:val="009B3637"/>
    <w:rsid w:val="009B3A07"/>
    <w:rsid w:val="009B40E5"/>
    <w:rsid w:val="009B47C4"/>
    <w:rsid w:val="009B4C1E"/>
    <w:rsid w:val="009B5321"/>
    <w:rsid w:val="009B5957"/>
    <w:rsid w:val="009B772D"/>
    <w:rsid w:val="009B778A"/>
    <w:rsid w:val="009B7AB8"/>
    <w:rsid w:val="009C08CF"/>
    <w:rsid w:val="009C1324"/>
    <w:rsid w:val="009C1873"/>
    <w:rsid w:val="009C24A0"/>
    <w:rsid w:val="009C3210"/>
    <w:rsid w:val="009C3CAB"/>
    <w:rsid w:val="009C4E7F"/>
    <w:rsid w:val="009C71C7"/>
    <w:rsid w:val="009D0C96"/>
    <w:rsid w:val="009D0E6A"/>
    <w:rsid w:val="009D1A20"/>
    <w:rsid w:val="009D25FC"/>
    <w:rsid w:val="009D29B8"/>
    <w:rsid w:val="009D3231"/>
    <w:rsid w:val="009D4770"/>
    <w:rsid w:val="009D4BA1"/>
    <w:rsid w:val="009D4E76"/>
    <w:rsid w:val="009E076C"/>
    <w:rsid w:val="009E165A"/>
    <w:rsid w:val="009E37DB"/>
    <w:rsid w:val="009E6905"/>
    <w:rsid w:val="009E77D9"/>
    <w:rsid w:val="009F0CA5"/>
    <w:rsid w:val="009F383A"/>
    <w:rsid w:val="009F3BBA"/>
    <w:rsid w:val="009F4607"/>
    <w:rsid w:val="009F47D4"/>
    <w:rsid w:val="009F4AEE"/>
    <w:rsid w:val="009F5D2A"/>
    <w:rsid w:val="009F6DD0"/>
    <w:rsid w:val="009F755F"/>
    <w:rsid w:val="00A00157"/>
    <w:rsid w:val="00A00818"/>
    <w:rsid w:val="00A0379A"/>
    <w:rsid w:val="00A0387E"/>
    <w:rsid w:val="00A05110"/>
    <w:rsid w:val="00A1036B"/>
    <w:rsid w:val="00A1184F"/>
    <w:rsid w:val="00A12EED"/>
    <w:rsid w:val="00A130E5"/>
    <w:rsid w:val="00A13949"/>
    <w:rsid w:val="00A1440D"/>
    <w:rsid w:val="00A14734"/>
    <w:rsid w:val="00A15CB1"/>
    <w:rsid w:val="00A16379"/>
    <w:rsid w:val="00A200F2"/>
    <w:rsid w:val="00A20BB4"/>
    <w:rsid w:val="00A21B17"/>
    <w:rsid w:val="00A23267"/>
    <w:rsid w:val="00A25035"/>
    <w:rsid w:val="00A256E9"/>
    <w:rsid w:val="00A257C8"/>
    <w:rsid w:val="00A26409"/>
    <w:rsid w:val="00A26A26"/>
    <w:rsid w:val="00A26A82"/>
    <w:rsid w:val="00A26ECB"/>
    <w:rsid w:val="00A34148"/>
    <w:rsid w:val="00A342D6"/>
    <w:rsid w:val="00A35429"/>
    <w:rsid w:val="00A35B94"/>
    <w:rsid w:val="00A364D1"/>
    <w:rsid w:val="00A37364"/>
    <w:rsid w:val="00A40A18"/>
    <w:rsid w:val="00A40A48"/>
    <w:rsid w:val="00A40F62"/>
    <w:rsid w:val="00A41C68"/>
    <w:rsid w:val="00A423A6"/>
    <w:rsid w:val="00A42EC9"/>
    <w:rsid w:val="00A431F5"/>
    <w:rsid w:val="00A444A8"/>
    <w:rsid w:val="00A4486B"/>
    <w:rsid w:val="00A45D2D"/>
    <w:rsid w:val="00A460FE"/>
    <w:rsid w:val="00A46797"/>
    <w:rsid w:val="00A51172"/>
    <w:rsid w:val="00A513BF"/>
    <w:rsid w:val="00A52171"/>
    <w:rsid w:val="00A5284C"/>
    <w:rsid w:val="00A52B68"/>
    <w:rsid w:val="00A53905"/>
    <w:rsid w:val="00A54F82"/>
    <w:rsid w:val="00A60EE0"/>
    <w:rsid w:val="00A62734"/>
    <w:rsid w:val="00A6284D"/>
    <w:rsid w:val="00A65709"/>
    <w:rsid w:val="00A65C03"/>
    <w:rsid w:val="00A66046"/>
    <w:rsid w:val="00A6711A"/>
    <w:rsid w:val="00A7062E"/>
    <w:rsid w:val="00A70DC7"/>
    <w:rsid w:val="00A70DFB"/>
    <w:rsid w:val="00A723F5"/>
    <w:rsid w:val="00A72510"/>
    <w:rsid w:val="00A72F81"/>
    <w:rsid w:val="00A747C4"/>
    <w:rsid w:val="00A74838"/>
    <w:rsid w:val="00A74C40"/>
    <w:rsid w:val="00A761FB"/>
    <w:rsid w:val="00A76D28"/>
    <w:rsid w:val="00A76D60"/>
    <w:rsid w:val="00A77918"/>
    <w:rsid w:val="00A77E41"/>
    <w:rsid w:val="00A80103"/>
    <w:rsid w:val="00A8065B"/>
    <w:rsid w:val="00A81329"/>
    <w:rsid w:val="00A81A06"/>
    <w:rsid w:val="00A82C80"/>
    <w:rsid w:val="00A82E9C"/>
    <w:rsid w:val="00A832A7"/>
    <w:rsid w:val="00A83DBB"/>
    <w:rsid w:val="00A842D4"/>
    <w:rsid w:val="00A8431D"/>
    <w:rsid w:val="00A84E25"/>
    <w:rsid w:val="00A85F7A"/>
    <w:rsid w:val="00A869D3"/>
    <w:rsid w:val="00A86F04"/>
    <w:rsid w:val="00A87530"/>
    <w:rsid w:val="00A915B1"/>
    <w:rsid w:val="00A93F8F"/>
    <w:rsid w:val="00A959AA"/>
    <w:rsid w:val="00A96A63"/>
    <w:rsid w:val="00A96B29"/>
    <w:rsid w:val="00A97223"/>
    <w:rsid w:val="00AA00A5"/>
    <w:rsid w:val="00AA259D"/>
    <w:rsid w:val="00AA2A44"/>
    <w:rsid w:val="00AA2BEE"/>
    <w:rsid w:val="00AA2CAC"/>
    <w:rsid w:val="00AA3F0C"/>
    <w:rsid w:val="00AA4051"/>
    <w:rsid w:val="00AA7D9D"/>
    <w:rsid w:val="00AA7DA3"/>
    <w:rsid w:val="00AB1D83"/>
    <w:rsid w:val="00AB44F9"/>
    <w:rsid w:val="00AB5BE6"/>
    <w:rsid w:val="00AB5FAA"/>
    <w:rsid w:val="00AB6FF1"/>
    <w:rsid w:val="00AC21B2"/>
    <w:rsid w:val="00AC2A00"/>
    <w:rsid w:val="00AC4132"/>
    <w:rsid w:val="00AC543C"/>
    <w:rsid w:val="00AC675E"/>
    <w:rsid w:val="00AC67CF"/>
    <w:rsid w:val="00AC6979"/>
    <w:rsid w:val="00AC6C67"/>
    <w:rsid w:val="00AD0FA9"/>
    <w:rsid w:val="00AD11A8"/>
    <w:rsid w:val="00AD1C4D"/>
    <w:rsid w:val="00AD4D4A"/>
    <w:rsid w:val="00AD5309"/>
    <w:rsid w:val="00AD54AE"/>
    <w:rsid w:val="00AD54BA"/>
    <w:rsid w:val="00AD63DC"/>
    <w:rsid w:val="00AD6471"/>
    <w:rsid w:val="00AD66CF"/>
    <w:rsid w:val="00AD6CA9"/>
    <w:rsid w:val="00AD6EB3"/>
    <w:rsid w:val="00AD7483"/>
    <w:rsid w:val="00AE18C8"/>
    <w:rsid w:val="00AE19BB"/>
    <w:rsid w:val="00AE2579"/>
    <w:rsid w:val="00AE452C"/>
    <w:rsid w:val="00AE46CD"/>
    <w:rsid w:val="00AE6E75"/>
    <w:rsid w:val="00AE7E44"/>
    <w:rsid w:val="00AF1764"/>
    <w:rsid w:val="00AF3789"/>
    <w:rsid w:val="00AF421B"/>
    <w:rsid w:val="00AF5553"/>
    <w:rsid w:val="00AF5BE7"/>
    <w:rsid w:val="00AF75F2"/>
    <w:rsid w:val="00B009AC"/>
    <w:rsid w:val="00B00C10"/>
    <w:rsid w:val="00B00CAB"/>
    <w:rsid w:val="00B03DB3"/>
    <w:rsid w:val="00B04E43"/>
    <w:rsid w:val="00B05049"/>
    <w:rsid w:val="00B05CCB"/>
    <w:rsid w:val="00B0608C"/>
    <w:rsid w:val="00B0759C"/>
    <w:rsid w:val="00B11331"/>
    <w:rsid w:val="00B11ED3"/>
    <w:rsid w:val="00B1275D"/>
    <w:rsid w:val="00B12908"/>
    <w:rsid w:val="00B13224"/>
    <w:rsid w:val="00B175BC"/>
    <w:rsid w:val="00B178F4"/>
    <w:rsid w:val="00B21485"/>
    <w:rsid w:val="00B21AC5"/>
    <w:rsid w:val="00B2250F"/>
    <w:rsid w:val="00B22522"/>
    <w:rsid w:val="00B22D18"/>
    <w:rsid w:val="00B255EE"/>
    <w:rsid w:val="00B25A3A"/>
    <w:rsid w:val="00B26C97"/>
    <w:rsid w:val="00B2706B"/>
    <w:rsid w:val="00B2773F"/>
    <w:rsid w:val="00B27C69"/>
    <w:rsid w:val="00B3183A"/>
    <w:rsid w:val="00B319BE"/>
    <w:rsid w:val="00B3338A"/>
    <w:rsid w:val="00B34E7C"/>
    <w:rsid w:val="00B36CD9"/>
    <w:rsid w:val="00B3799A"/>
    <w:rsid w:val="00B37BDD"/>
    <w:rsid w:val="00B40BC7"/>
    <w:rsid w:val="00B41CFB"/>
    <w:rsid w:val="00B420D9"/>
    <w:rsid w:val="00B4273D"/>
    <w:rsid w:val="00B4461A"/>
    <w:rsid w:val="00B44A1A"/>
    <w:rsid w:val="00B45ACE"/>
    <w:rsid w:val="00B52C78"/>
    <w:rsid w:val="00B53644"/>
    <w:rsid w:val="00B53C19"/>
    <w:rsid w:val="00B54C84"/>
    <w:rsid w:val="00B54CE7"/>
    <w:rsid w:val="00B56D5B"/>
    <w:rsid w:val="00B56FC9"/>
    <w:rsid w:val="00B600EC"/>
    <w:rsid w:val="00B625C6"/>
    <w:rsid w:val="00B6352E"/>
    <w:rsid w:val="00B639F2"/>
    <w:rsid w:val="00B6431C"/>
    <w:rsid w:val="00B6470C"/>
    <w:rsid w:val="00B65CF1"/>
    <w:rsid w:val="00B6676B"/>
    <w:rsid w:val="00B70158"/>
    <w:rsid w:val="00B707EA"/>
    <w:rsid w:val="00B7334A"/>
    <w:rsid w:val="00B73C3F"/>
    <w:rsid w:val="00B74B64"/>
    <w:rsid w:val="00B75FB7"/>
    <w:rsid w:val="00B77514"/>
    <w:rsid w:val="00B77BC4"/>
    <w:rsid w:val="00B80A03"/>
    <w:rsid w:val="00B80F0F"/>
    <w:rsid w:val="00B8256A"/>
    <w:rsid w:val="00B825DB"/>
    <w:rsid w:val="00B84BAB"/>
    <w:rsid w:val="00B852FC"/>
    <w:rsid w:val="00B85309"/>
    <w:rsid w:val="00B86200"/>
    <w:rsid w:val="00B9095F"/>
    <w:rsid w:val="00B91120"/>
    <w:rsid w:val="00B911A0"/>
    <w:rsid w:val="00B91ABD"/>
    <w:rsid w:val="00B9201B"/>
    <w:rsid w:val="00B932BE"/>
    <w:rsid w:val="00B9444E"/>
    <w:rsid w:val="00B955AE"/>
    <w:rsid w:val="00B962E0"/>
    <w:rsid w:val="00B97D8E"/>
    <w:rsid w:val="00BA1F8B"/>
    <w:rsid w:val="00BA3CF9"/>
    <w:rsid w:val="00BA66DF"/>
    <w:rsid w:val="00BA7F4E"/>
    <w:rsid w:val="00BB016D"/>
    <w:rsid w:val="00BB0586"/>
    <w:rsid w:val="00BB10CE"/>
    <w:rsid w:val="00BB1A8E"/>
    <w:rsid w:val="00BB1C21"/>
    <w:rsid w:val="00BB22F8"/>
    <w:rsid w:val="00BB2C7B"/>
    <w:rsid w:val="00BB3945"/>
    <w:rsid w:val="00BB3EFE"/>
    <w:rsid w:val="00BB52E7"/>
    <w:rsid w:val="00BB5D0A"/>
    <w:rsid w:val="00BB6E2D"/>
    <w:rsid w:val="00BB798F"/>
    <w:rsid w:val="00BC045C"/>
    <w:rsid w:val="00BC1548"/>
    <w:rsid w:val="00BC2836"/>
    <w:rsid w:val="00BC2AAC"/>
    <w:rsid w:val="00BC3A60"/>
    <w:rsid w:val="00BC4AE0"/>
    <w:rsid w:val="00BC5328"/>
    <w:rsid w:val="00BC5C79"/>
    <w:rsid w:val="00BD0EF4"/>
    <w:rsid w:val="00BD3D80"/>
    <w:rsid w:val="00BD47D0"/>
    <w:rsid w:val="00BD5B6A"/>
    <w:rsid w:val="00BD6E82"/>
    <w:rsid w:val="00BD6F29"/>
    <w:rsid w:val="00BD7C36"/>
    <w:rsid w:val="00BE10DA"/>
    <w:rsid w:val="00BE15FA"/>
    <w:rsid w:val="00BE2E2E"/>
    <w:rsid w:val="00BE3072"/>
    <w:rsid w:val="00BE3ADC"/>
    <w:rsid w:val="00BE3CBB"/>
    <w:rsid w:val="00BE4819"/>
    <w:rsid w:val="00BE609B"/>
    <w:rsid w:val="00BF1282"/>
    <w:rsid w:val="00BF25DB"/>
    <w:rsid w:val="00BF2788"/>
    <w:rsid w:val="00BF33A0"/>
    <w:rsid w:val="00BF361F"/>
    <w:rsid w:val="00BF435E"/>
    <w:rsid w:val="00BF47EB"/>
    <w:rsid w:val="00BF48F8"/>
    <w:rsid w:val="00BF78C0"/>
    <w:rsid w:val="00C01581"/>
    <w:rsid w:val="00C02342"/>
    <w:rsid w:val="00C02884"/>
    <w:rsid w:val="00C0347D"/>
    <w:rsid w:val="00C0638D"/>
    <w:rsid w:val="00C072B8"/>
    <w:rsid w:val="00C076C1"/>
    <w:rsid w:val="00C10C2F"/>
    <w:rsid w:val="00C11BF6"/>
    <w:rsid w:val="00C12050"/>
    <w:rsid w:val="00C12797"/>
    <w:rsid w:val="00C16DD7"/>
    <w:rsid w:val="00C16F93"/>
    <w:rsid w:val="00C21673"/>
    <w:rsid w:val="00C219AC"/>
    <w:rsid w:val="00C21A42"/>
    <w:rsid w:val="00C22CAB"/>
    <w:rsid w:val="00C25577"/>
    <w:rsid w:val="00C26EE9"/>
    <w:rsid w:val="00C2781B"/>
    <w:rsid w:val="00C314FD"/>
    <w:rsid w:val="00C32DCD"/>
    <w:rsid w:val="00C35493"/>
    <w:rsid w:val="00C35757"/>
    <w:rsid w:val="00C3679E"/>
    <w:rsid w:val="00C3B199"/>
    <w:rsid w:val="00C403E4"/>
    <w:rsid w:val="00C413D0"/>
    <w:rsid w:val="00C42EB6"/>
    <w:rsid w:val="00C43979"/>
    <w:rsid w:val="00C43F88"/>
    <w:rsid w:val="00C4486C"/>
    <w:rsid w:val="00C5024F"/>
    <w:rsid w:val="00C502EF"/>
    <w:rsid w:val="00C5076C"/>
    <w:rsid w:val="00C51B48"/>
    <w:rsid w:val="00C53A4D"/>
    <w:rsid w:val="00C53E5E"/>
    <w:rsid w:val="00C547DF"/>
    <w:rsid w:val="00C547F5"/>
    <w:rsid w:val="00C54D17"/>
    <w:rsid w:val="00C55FB7"/>
    <w:rsid w:val="00C571D9"/>
    <w:rsid w:val="00C61541"/>
    <w:rsid w:val="00C61A78"/>
    <w:rsid w:val="00C65AD4"/>
    <w:rsid w:val="00C6639B"/>
    <w:rsid w:val="00C67003"/>
    <w:rsid w:val="00C73712"/>
    <w:rsid w:val="00C74B86"/>
    <w:rsid w:val="00C74E23"/>
    <w:rsid w:val="00C751AA"/>
    <w:rsid w:val="00C823A9"/>
    <w:rsid w:val="00C825EA"/>
    <w:rsid w:val="00C85F16"/>
    <w:rsid w:val="00C91E40"/>
    <w:rsid w:val="00C92F78"/>
    <w:rsid w:val="00C95557"/>
    <w:rsid w:val="00C955D2"/>
    <w:rsid w:val="00C96A98"/>
    <w:rsid w:val="00C96E4B"/>
    <w:rsid w:val="00CA023E"/>
    <w:rsid w:val="00CA1B89"/>
    <w:rsid w:val="00CA4C50"/>
    <w:rsid w:val="00CA61E4"/>
    <w:rsid w:val="00CA7F42"/>
    <w:rsid w:val="00CB1034"/>
    <w:rsid w:val="00CB3BDC"/>
    <w:rsid w:val="00CB43A1"/>
    <w:rsid w:val="00CB45EB"/>
    <w:rsid w:val="00CB4C1E"/>
    <w:rsid w:val="00CB5781"/>
    <w:rsid w:val="00CB5B34"/>
    <w:rsid w:val="00CB6B2D"/>
    <w:rsid w:val="00CB7C63"/>
    <w:rsid w:val="00CC11EA"/>
    <w:rsid w:val="00CC76D7"/>
    <w:rsid w:val="00CD2F06"/>
    <w:rsid w:val="00CD398E"/>
    <w:rsid w:val="00CD6B4C"/>
    <w:rsid w:val="00CD73DA"/>
    <w:rsid w:val="00CD7F73"/>
    <w:rsid w:val="00CE0810"/>
    <w:rsid w:val="00CE3878"/>
    <w:rsid w:val="00CE3E3B"/>
    <w:rsid w:val="00CE4777"/>
    <w:rsid w:val="00CE48AB"/>
    <w:rsid w:val="00CE6319"/>
    <w:rsid w:val="00CF3232"/>
    <w:rsid w:val="00CF3735"/>
    <w:rsid w:val="00CF387F"/>
    <w:rsid w:val="00CF4DB2"/>
    <w:rsid w:val="00CF7A1E"/>
    <w:rsid w:val="00D000D2"/>
    <w:rsid w:val="00D00FFC"/>
    <w:rsid w:val="00D01C53"/>
    <w:rsid w:val="00D01F1A"/>
    <w:rsid w:val="00D0242B"/>
    <w:rsid w:val="00D0377E"/>
    <w:rsid w:val="00D037E7"/>
    <w:rsid w:val="00D0683F"/>
    <w:rsid w:val="00D06C85"/>
    <w:rsid w:val="00D102C4"/>
    <w:rsid w:val="00D10771"/>
    <w:rsid w:val="00D11465"/>
    <w:rsid w:val="00D11DA2"/>
    <w:rsid w:val="00D1296C"/>
    <w:rsid w:val="00D15025"/>
    <w:rsid w:val="00D15077"/>
    <w:rsid w:val="00D154A3"/>
    <w:rsid w:val="00D16334"/>
    <w:rsid w:val="00D172C9"/>
    <w:rsid w:val="00D20351"/>
    <w:rsid w:val="00D2178C"/>
    <w:rsid w:val="00D2239F"/>
    <w:rsid w:val="00D22BB4"/>
    <w:rsid w:val="00D24BE6"/>
    <w:rsid w:val="00D24EE7"/>
    <w:rsid w:val="00D26B8B"/>
    <w:rsid w:val="00D26D6D"/>
    <w:rsid w:val="00D3001F"/>
    <w:rsid w:val="00D305B3"/>
    <w:rsid w:val="00D3081A"/>
    <w:rsid w:val="00D31A8E"/>
    <w:rsid w:val="00D336EC"/>
    <w:rsid w:val="00D33937"/>
    <w:rsid w:val="00D33EA6"/>
    <w:rsid w:val="00D35990"/>
    <w:rsid w:val="00D365E6"/>
    <w:rsid w:val="00D40ED3"/>
    <w:rsid w:val="00D418BF"/>
    <w:rsid w:val="00D41E2B"/>
    <w:rsid w:val="00D429C9"/>
    <w:rsid w:val="00D43FAE"/>
    <w:rsid w:val="00D46190"/>
    <w:rsid w:val="00D469F8"/>
    <w:rsid w:val="00D47E29"/>
    <w:rsid w:val="00D50D54"/>
    <w:rsid w:val="00D519F6"/>
    <w:rsid w:val="00D51FBB"/>
    <w:rsid w:val="00D522CB"/>
    <w:rsid w:val="00D52801"/>
    <w:rsid w:val="00D528C2"/>
    <w:rsid w:val="00D53F35"/>
    <w:rsid w:val="00D5432C"/>
    <w:rsid w:val="00D550FC"/>
    <w:rsid w:val="00D552E1"/>
    <w:rsid w:val="00D578FA"/>
    <w:rsid w:val="00D60411"/>
    <w:rsid w:val="00D6084C"/>
    <w:rsid w:val="00D61D67"/>
    <w:rsid w:val="00D62458"/>
    <w:rsid w:val="00D638E6"/>
    <w:rsid w:val="00D64354"/>
    <w:rsid w:val="00D664FD"/>
    <w:rsid w:val="00D6728E"/>
    <w:rsid w:val="00D6778C"/>
    <w:rsid w:val="00D750AF"/>
    <w:rsid w:val="00D808DB"/>
    <w:rsid w:val="00D80C18"/>
    <w:rsid w:val="00D81419"/>
    <w:rsid w:val="00D82382"/>
    <w:rsid w:val="00D823DE"/>
    <w:rsid w:val="00D82F55"/>
    <w:rsid w:val="00D84FAF"/>
    <w:rsid w:val="00D91FCD"/>
    <w:rsid w:val="00D9206D"/>
    <w:rsid w:val="00D932F2"/>
    <w:rsid w:val="00D93EF8"/>
    <w:rsid w:val="00D95B1E"/>
    <w:rsid w:val="00D97479"/>
    <w:rsid w:val="00DA10B5"/>
    <w:rsid w:val="00DA12F1"/>
    <w:rsid w:val="00DA1840"/>
    <w:rsid w:val="00DA1887"/>
    <w:rsid w:val="00DA33CD"/>
    <w:rsid w:val="00DA5C1E"/>
    <w:rsid w:val="00DB1F0C"/>
    <w:rsid w:val="00DB231E"/>
    <w:rsid w:val="00DB23DA"/>
    <w:rsid w:val="00DB26F7"/>
    <w:rsid w:val="00DB3883"/>
    <w:rsid w:val="00DB3BB7"/>
    <w:rsid w:val="00DB3E11"/>
    <w:rsid w:val="00DB57C5"/>
    <w:rsid w:val="00DB63F7"/>
    <w:rsid w:val="00DB66C3"/>
    <w:rsid w:val="00DB7F31"/>
    <w:rsid w:val="00DC0F10"/>
    <w:rsid w:val="00DC32EF"/>
    <w:rsid w:val="00DC38FB"/>
    <w:rsid w:val="00DC4011"/>
    <w:rsid w:val="00DC51D1"/>
    <w:rsid w:val="00DC5251"/>
    <w:rsid w:val="00DD142E"/>
    <w:rsid w:val="00DD18B6"/>
    <w:rsid w:val="00DD1CAE"/>
    <w:rsid w:val="00DD447B"/>
    <w:rsid w:val="00DD45A1"/>
    <w:rsid w:val="00DD4AB2"/>
    <w:rsid w:val="00DD5BE1"/>
    <w:rsid w:val="00DD731A"/>
    <w:rsid w:val="00DE1914"/>
    <w:rsid w:val="00DE1D92"/>
    <w:rsid w:val="00DE1E21"/>
    <w:rsid w:val="00DE2EA2"/>
    <w:rsid w:val="00DE5A5D"/>
    <w:rsid w:val="00DE6EE3"/>
    <w:rsid w:val="00DF081A"/>
    <w:rsid w:val="00DF3057"/>
    <w:rsid w:val="00DF48CF"/>
    <w:rsid w:val="00DF5C5F"/>
    <w:rsid w:val="00DF603D"/>
    <w:rsid w:val="00DF794F"/>
    <w:rsid w:val="00E00DD1"/>
    <w:rsid w:val="00E01E7A"/>
    <w:rsid w:val="00E06C87"/>
    <w:rsid w:val="00E0714A"/>
    <w:rsid w:val="00E07694"/>
    <w:rsid w:val="00E07A32"/>
    <w:rsid w:val="00E07D72"/>
    <w:rsid w:val="00E07F32"/>
    <w:rsid w:val="00E123DF"/>
    <w:rsid w:val="00E13297"/>
    <w:rsid w:val="00E14049"/>
    <w:rsid w:val="00E15451"/>
    <w:rsid w:val="00E15733"/>
    <w:rsid w:val="00E16269"/>
    <w:rsid w:val="00E17DF0"/>
    <w:rsid w:val="00E2320B"/>
    <w:rsid w:val="00E24C29"/>
    <w:rsid w:val="00E24F22"/>
    <w:rsid w:val="00E26B75"/>
    <w:rsid w:val="00E3054E"/>
    <w:rsid w:val="00E31379"/>
    <w:rsid w:val="00E31E4F"/>
    <w:rsid w:val="00E33EAF"/>
    <w:rsid w:val="00E34B43"/>
    <w:rsid w:val="00E35F1E"/>
    <w:rsid w:val="00E362DC"/>
    <w:rsid w:val="00E3641E"/>
    <w:rsid w:val="00E37389"/>
    <w:rsid w:val="00E37C18"/>
    <w:rsid w:val="00E4061A"/>
    <w:rsid w:val="00E431FB"/>
    <w:rsid w:val="00E437D5"/>
    <w:rsid w:val="00E4440E"/>
    <w:rsid w:val="00E44633"/>
    <w:rsid w:val="00E4548E"/>
    <w:rsid w:val="00E45D32"/>
    <w:rsid w:val="00E46D6C"/>
    <w:rsid w:val="00E477FA"/>
    <w:rsid w:val="00E47DC2"/>
    <w:rsid w:val="00E500F4"/>
    <w:rsid w:val="00E50554"/>
    <w:rsid w:val="00E50B20"/>
    <w:rsid w:val="00E51746"/>
    <w:rsid w:val="00E5175F"/>
    <w:rsid w:val="00E539CF"/>
    <w:rsid w:val="00E542FF"/>
    <w:rsid w:val="00E561FD"/>
    <w:rsid w:val="00E57BA7"/>
    <w:rsid w:val="00E57BAC"/>
    <w:rsid w:val="00E60731"/>
    <w:rsid w:val="00E617F6"/>
    <w:rsid w:val="00E6271C"/>
    <w:rsid w:val="00E6373E"/>
    <w:rsid w:val="00E63BA0"/>
    <w:rsid w:val="00E63C3A"/>
    <w:rsid w:val="00E64330"/>
    <w:rsid w:val="00E665DA"/>
    <w:rsid w:val="00E66900"/>
    <w:rsid w:val="00E673D7"/>
    <w:rsid w:val="00E708A8"/>
    <w:rsid w:val="00E71D63"/>
    <w:rsid w:val="00E72A3C"/>
    <w:rsid w:val="00E72A45"/>
    <w:rsid w:val="00E73516"/>
    <w:rsid w:val="00E73E5D"/>
    <w:rsid w:val="00E7510C"/>
    <w:rsid w:val="00E76291"/>
    <w:rsid w:val="00E8063F"/>
    <w:rsid w:val="00E80A31"/>
    <w:rsid w:val="00E80A91"/>
    <w:rsid w:val="00E81AA4"/>
    <w:rsid w:val="00E81BAC"/>
    <w:rsid w:val="00E82F33"/>
    <w:rsid w:val="00E84AC1"/>
    <w:rsid w:val="00E86A66"/>
    <w:rsid w:val="00E877EF"/>
    <w:rsid w:val="00E900B9"/>
    <w:rsid w:val="00E932FC"/>
    <w:rsid w:val="00E9383A"/>
    <w:rsid w:val="00E94543"/>
    <w:rsid w:val="00E951F3"/>
    <w:rsid w:val="00E959E4"/>
    <w:rsid w:val="00E97A0D"/>
    <w:rsid w:val="00EA0FA8"/>
    <w:rsid w:val="00EA14C2"/>
    <w:rsid w:val="00EA1665"/>
    <w:rsid w:val="00EA2046"/>
    <w:rsid w:val="00EA3471"/>
    <w:rsid w:val="00EA3D04"/>
    <w:rsid w:val="00EA3F6C"/>
    <w:rsid w:val="00EB0708"/>
    <w:rsid w:val="00EB1168"/>
    <w:rsid w:val="00EB1519"/>
    <w:rsid w:val="00EB2872"/>
    <w:rsid w:val="00EB49A1"/>
    <w:rsid w:val="00EB4C4A"/>
    <w:rsid w:val="00EB65C6"/>
    <w:rsid w:val="00EB7A85"/>
    <w:rsid w:val="00EC01F6"/>
    <w:rsid w:val="00EC224A"/>
    <w:rsid w:val="00EC2A31"/>
    <w:rsid w:val="00EC4188"/>
    <w:rsid w:val="00EC5936"/>
    <w:rsid w:val="00EC7844"/>
    <w:rsid w:val="00EC7D61"/>
    <w:rsid w:val="00EC7E62"/>
    <w:rsid w:val="00ED01EC"/>
    <w:rsid w:val="00ED1583"/>
    <w:rsid w:val="00ED175C"/>
    <w:rsid w:val="00ED183B"/>
    <w:rsid w:val="00ED47F6"/>
    <w:rsid w:val="00ED7487"/>
    <w:rsid w:val="00ED7840"/>
    <w:rsid w:val="00EE0062"/>
    <w:rsid w:val="00EE5255"/>
    <w:rsid w:val="00EE78A8"/>
    <w:rsid w:val="00EE7A8D"/>
    <w:rsid w:val="00EF135F"/>
    <w:rsid w:val="00EF18E4"/>
    <w:rsid w:val="00EF2BC9"/>
    <w:rsid w:val="00EF3ACE"/>
    <w:rsid w:val="00EF53D3"/>
    <w:rsid w:val="00EF6426"/>
    <w:rsid w:val="00EF6773"/>
    <w:rsid w:val="00EF7A88"/>
    <w:rsid w:val="00F02069"/>
    <w:rsid w:val="00F03933"/>
    <w:rsid w:val="00F044A4"/>
    <w:rsid w:val="00F04FE6"/>
    <w:rsid w:val="00F05D4C"/>
    <w:rsid w:val="00F06860"/>
    <w:rsid w:val="00F10643"/>
    <w:rsid w:val="00F11CAA"/>
    <w:rsid w:val="00F1256D"/>
    <w:rsid w:val="00F14EFB"/>
    <w:rsid w:val="00F16057"/>
    <w:rsid w:val="00F21723"/>
    <w:rsid w:val="00F21B26"/>
    <w:rsid w:val="00F2352A"/>
    <w:rsid w:val="00F238AB"/>
    <w:rsid w:val="00F25318"/>
    <w:rsid w:val="00F25828"/>
    <w:rsid w:val="00F2682A"/>
    <w:rsid w:val="00F2742D"/>
    <w:rsid w:val="00F27CBE"/>
    <w:rsid w:val="00F302E2"/>
    <w:rsid w:val="00F30AA3"/>
    <w:rsid w:val="00F3180D"/>
    <w:rsid w:val="00F3279E"/>
    <w:rsid w:val="00F33C0F"/>
    <w:rsid w:val="00F3428E"/>
    <w:rsid w:val="00F36D95"/>
    <w:rsid w:val="00F36DDB"/>
    <w:rsid w:val="00F36F32"/>
    <w:rsid w:val="00F40687"/>
    <w:rsid w:val="00F40D00"/>
    <w:rsid w:val="00F40FC7"/>
    <w:rsid w:val="00F424D4"/>
    <w:rsid w:val="00F44354"/>
    <w:rsid w:val="00F4596F"/>
    <w:rsid w:val="00F45CE4"/>
    <w:rsid w:val="00F46EFC"/>
    <w:rsid w:val="00F479D0"/>
    <w:rsid w:val="00F50941"/>
    <w:rsid w:val="00F50DE7"/>
    <w:rsid w:val="00F51DEA"/>
    <w:rsid w:val="00F52BC3"/>
    <w:rsid w:val="00F53F8A"/>
    <w:rsid w:val="00F55B2E"/>
    <w:rsid w:val="00F55BE0"/>
    <w:rsid w:val="00F607D1"/>
    <w:rsid w:val="00F61025"/>
    <w:rsid w:val="00F621F7"/>
    <w:rsid w:val="00F62BDA"/>
    <w:rsid w:val="00F62E08"/>
    <w:rsid w:val="00F70B13"/>
    <w:rsid w:val="00F70DF5"/>
    <w:rsid w:val="00F72323"/>
    <w:rsid w:val="00F72387"/>
    <w:rsid w:val="00F73636"/>
    <w:rsid w:val="00F75116"/>
    <w:rsid w:val="00F751BA"/>
    <w:rsid w:val="00F75BCB"/>
    <w:rsid w:val="00F76F78"/>
    <w:rsid w:val="00F7709B"/>
    <w:rsid w:val="00F77631"/>
    <w:rsid w:val="00F801AE"/>
    <w:rsid w:val="00F815E4"/>
    <w:rsid w:val="00F824EF"/>
    <w:rsid w:val="00F82CFA"/>
    <w:rsid w:val="00F83784"/>
    <w:rsid w:val="00F83916"/>
    <w:rsid w:val="00F83B10"/>
    <w:rsid w:val="00F85AB2"/>
    <w:rsid w:val="00F85BCD"/>
    <w:rsid w:val="00F908F8"/>
    <w:rsid w:val="00F90A6F"/>
    <w:rsid w:val="00F90F16"/>
    <w:rsid w:val="00F918F1"/>
    <w:rsid w:val="00F93557"/>
    <w:rsid w:val="00F9487F"/>
    <w:rsid w:val="00F94F85"/>
    <w:rsid w:val="00F96CD1"/>
    <w:rsid w:val="00F976D3"/>
    <w:rsid w:val="00FA295A"/>
    <w:rsid w:val="00FA3A68"/>
    <w:rsid w:val="00FA5BE6"/>
    <w:rsid w:val="00FA6704"/>
    <w:rsid w:val="00FA7861"/>
    <w:rsid w:val="00FB007E"/>
    <w:rsid w:val="00FB02F9"/>
    <w:rsid w:val="00FB0E54"/>
    <w:rsid w:val="00FB162C"/>
    <w:rsid w:val="00FB193C"/>
    <w:rsid w:val="00FB2606"/>
    <w:rsid w:val="00FB3211"/>
    <w:rsid w:val="00FB3725"/>
    <w:rsid w:val="00FB47DD"/>
    <w:rsid w:val="00FB4C75"/>
    <w:rsid w:val="00FB6A03"/>
    <w:rsid w:val="00FB7437"/>
    <w:rsid w:val="00FB7520"/>
    <w:rsid w:val="00FB76D3"/>
    <w:rsid w:val="00FB7B05"/>
    <w:rsid w:val="00FB7B2E"/>
    <w:rsid w:val="00FC0A10"/>
    <w:rsid w:val="00FC1433"/>
    <w:rsid w:val="00FC2165"/>
    <w:rsid w:val="00FC3EC9"/>
    <w:rsid w:val="00FC62AB"/>
    <w:rsid w:val="00FD131D"/>
    <w:rsid w:val="00FD263C"/>
    <w:rsid w:val="00FD2778"/>
    <w:rsid w:val="00FD2E11"/>
    <w:rsid w:val="00FD4835"/>
    <w:rsid w:val="00FD54C4"/>
    <w:rsid w:val="00FD575D"/>
    <w:rsid w:val="00FD5EA0"/>
    <w:rsid w:val="00FD659B"/>
    <w:rsid w:val="00FD75CB"/>
    <w:rsid w:val="00FE07C6"/>
    <w:rsid w:val="00FE0F11"/>
    <w:rsid w:val="00FE1E18"/>
    <w:rsid w:val="00FE2C63"/>
    <w:rsid w:val="00FE3A23"/>
    <w:rsid w:val="00FE642E"/>
    <w:rsid w:val="00FF14F6"/>
    <w:rsid w:val="00FF213F"/>
    <w:rsid w:val="00FF273A"/>
    <w:rsid w:val="00FF3DD6"/>
    <w:rsid w:val="00FF4353"/>
    <w:rsid w:val="00FF4382"/>
    <w:rsid w:val="00FF5247"/>
    <w:rsid w:val="00FF5E40"/>
    <w:rsid w:val="010EA76D"/>
    <w:rsid w:val="012B9263"/>
    <w:rsid w:val="017A9CF9"/>
    <w:rsid w:val="0188192A"/>
    <w:rsid w:val="01A537F5"/>
    <w:rsid w:val="01C05ABE"/>
    <w:rsid w:val="022F08ED"/>
    <w:rsid w:val="02883606"/>
    <w:rsid w:val="02E1D8F7"/>
    <w:rsid w:val="02EB40D8"/>
    <w:rsid w:val="02F6FEB0"/>
    <w:rsid w:val="03591523"/>
    <w:rsid w:val="0362FC52"/>
    <w:rsid w:val="0368188D"/>
    <w:rsid w:val="03700FFA"/>
    <w:rsid w:val="0398B9D5"/>
    <w:rsid w:val="03C6684E"/>
    <w:rsid w:val="03E4F0D4"/>
    <w:rsid w:val="0449B0D2"/>
    <w:rsid w:val="044A0AC8"/>
    <w:rsid w:val="04650DDB"/>
    <w:rsid w:val="049AE9C6"/>
    <w:rsid w:val="04BF2274"/>
    <w:rsid w:val="04C6AA58"/>
    <w:rsid w:val="0516028D"/>
    <w:rsid w:val="05B51076"/>
    <w:rsid w:val="06329FB5"/>
    <w:rsid w:val="06462783"/>
    <w:rsid w:val="0680969E"/>
    <w:rsid w:val="06BCD38B"/>
    <w:rsid w:val="07EE767A"/>
    <w:rsid w:val="080FB3DF"/>
    <w:rsid w:val="08382C58"/>
    <w:rsid w:val="08EB1309"/>
    <w:rsid w:val="0916C6A0"/>
    <w:rsid w:val="091AB2A6"/>
    <w:rsid w:val="09659615"/>
    <w:rsid w:val="09E4435B"/>
    <w:rsid w:val="09FE589C"/>
    <w:rsid w:val="0A644583"/>
    <w:rsid w:val="0A9055E9"/>
    <w:rsid w:val="0A996EA4"/>
    <w:rsid w:val="0B69CF32"/>
    <w:rsid w:val="0C3232D2"/>
    <w:rsid w:val="0C32F283"/>
    <w:rsid w:val="0C3E1C67"/>
    <w:rsid w:val="0C526DD3"/>
    <w:rsid w:val="0C57A870"/>
    <w:rsid w:val="0CE91E32"/>
    <w:rsid w:val="0CEFD822"/>
    <w:rsid w:val="0D1A81A1"/>
    <w:rsid w:val="0D1BB79D"/>
    <w:rsid w:val="0D328563"/>
    <w:rsid w:val="0D36816B"/>
    <w:rsid w:val="0D7D0B10"/>
    <w:rsid w:val="0D93F3F2"/>
    <w:rsid w:val="0DAF3609"/>
    <w:rsid w:val="0DBA2E0E"/>
    <w:rsid w:val="0DF09318"/>
    <w:rsid w:val="0E1858A2"/>
    <w:rsid w:val="0E3CFEA1"/>
    <w:rsid w:val="0E8A40D0"/>
    <w:rsid w:val="0E8C878B"/>
    <w:rsid w:val="0E9046A2"/>
    <w:rsid w:val="0EB787FE"/>
    <w:rsid w:val="0ED10A6A"/>
    <w:rsid w:val="0EE0EF13"/>
    <w:rsid w:val="0F60278E"/>
    <w:rsid w:val="0F61E709"/>
    <w:rsid w:val="0F72C380"/>
    <w:rsid w:val="0F7B28A2"/>
    <w:rsid w:val="0F7F6B76"/>
    <w:rsid w:val="0FE50BE9"/>
    <w:rsid w:val="100B5638"/>
    <w:rsid w:val="1053585F"/>
    <w:rsid w:val="1094DDF8"/>
    <w:rsid w:val="10C50EB7"/>
    <w:rsid w:val="111ABB0C"/>
    <w:rsid w:val="113E376E"/>
    <w:rsid w:val="117A557F"/>
    <w:rsid w:val="118BA9EC"/>
    <w:rsid w:val="119CE871"/>
    <w:rsid w:val="11AFAA9C"/>
    <w:rsid w:val="11C7E764"/>
    <w:rsid w:val="1201CDBD"/>
    <w:rsid w:val="12450077"/>
    <w:rsid w:val="126BF2D1"/>
    <w:rsid w:val="12E5F82B"/>
    <w:rsid w:val="13A16D5A"/>
    <w:rsid w:val="13D02DA9"/>
    <w:rsid w:val="13DB5D28"/>
    <w:rsid w:val="14599442"/>
    <w:rsid w:val="14677938"/>
    <w:rsid w:val="146A4926"/>
    <w:rsid w:val="14924888"/>
    <w:rsid w:val="14FAEA07"/>
    <w:rsid w:val="157829A8"/>
    <w:rsid w:val="15BD2097"/>
    <w:rsid w:val="15D4744D"/>
    <w:rsid w:val="15F7F44F"/>
    <w:rsid w:val="16061987"/>
    <w:rsid w:val="161666C3"/>
    <w:rsid w:val="16336B26"/>
    <w:rsid w:val="164322F0"/>
    <w:rsid w:val="164975F2"/>
    <w:rsid w:val="16B58DB1"/>
    <w:rsid w:val="174382B6"/>
    <w:rsid w:val="1751B2C0"/>
    <w:rsid w:val="17DEF351"/>
    <w:rsid w:val="17E7C6CB"/>
    <w:rsid w:val="18624F78"/>
    <w:rsid w:val="18720FF4"/>
    <w:rsid w:val="1887C516"/>
    <w:rsid w:val="18B03AA4"/>
    <w:rsid w:val="18B441FB"/>
    <w:rsid w:val="18ED8321"/>
    <w:rsid w:val="1904A602"/>
    <w:rsid w:val="1938BC29"/>
    <w:rsid w:val="197A8AEF"/>
    <w:rsid w:val="1A00601F"/>
    <w:rsid w:val="1A290750"/>
    <w:rsid w:val="1A754C66"/>
    <w:rsid w:val="1A7C8AE8"/>
    <w:rsid w:val="1AE15FED"/>
    <w:rsid w:val="1BEBE2BD"/>
    <w:rsid w:val="1C1CFB2E"/>
    <w:rsid w:val="1C44C621"/>
    <w:rsid w:val="1C694A38"/>
    <w:rsid w:val="1C7D41A4"/>
    <w:rsid w:val="1CEC46BC"/>
    <w:rsid w:val="1D1E2BD5"/>
    <w:rsid w:val="1D2C58BA"/>
    <w:rsid w:val="1D41AC89"/>
    <w:rsid w:val="1D5F036A"/>
    <w:rsid w:val="1D929F99"/>
    <w:rsid w:val="1D9EC77C"/>
    <w:rsid w:val="1DABC7F6"/>
    <w:rsid w:val="1DAE1A2D"/>
    <w:rsid w:val="1EB05221"/>
    <w:rsid w:val="1EEBC602"/>
    <w:rsid w:val="1F25A24B"/>
    <w:rsid w:val="1F59945B"/>
    <w:rsid w:val="1F65E93D"/>
    <w:rsid w:val="1FD763A7"/>
    <w:rsid w:val="208BEAA5"/>
    <w:rsid w:val="20A0BEC0"/>
    <w:rsid w:val="20CA405B"/>
    <w:rsid w:val="21579ECC"/>
    <w:rsid w:val="2207B763"/>
    <w:rsid w:val="22194C30"/>
    <w:rsid w:val="22397F0F"/>
    <w:rsid w:val="224D77A0"/>
    <w:rsid w:val="22B407A5"/>
    <w:rsid w:val="23160BB0"/>
    <w:rsid w:val="234DD887"/>
    <w:rsid w:val="23614663"/>
    <w:rsid w:val="23916F5A"/>
    <w:rsid w:val="23A61519"/>
    <w:rsid w:val="2401E11D"/>
    <w:rsid w:val="241B097A"/>
    <w:rsid w:val="244882F3"/>
    <w:rsid w:val="2473273B"/>
    <w:rsid w:val="2491556F"/>
    <w:rsid w:val="24CCB300"/>
    <w:rsid w:val="25B6D9DB"/>
    <w:rsid w:val="25BF2340"/>
    <w:rsid w:val="25E29D0E"/>
    <w:rsid w:val="25FF182D"/>
    <w:rsid w:val="26008D0B"/>
    <w:rsid w:val="262285BB"/>
    <w:rsid w:val="26379468"/>
    <w:rsid w:val="265590C6"/>
    <w:rsid w:val="265936F0"/>
    <w:rsid w:val="26C20029"/>
    <w:rsid w:val="26C2E30C"/>
    <w:rsid w:val="278E6D1E"/>
    <w:rsid w:val="27994FBD"/>
    <w:rsid w:val="288FD537"/>
    <w:rsid w:val="2896341D"/>
    <w:rsid w:val="28C7357B"/>
    <w:rsid w:val="28CC0D87"/>
    <w:rsid w:val="29033562"/>
    <w:rsid w:val="291D3E87"/>
    <w:rsid w:val="29234929"/>
    <w:rsid w:val="29788FB9"/>
    <w:rsid w:val="29933F6A"/>
    <w:rsid w:val="29C599C1"/>
    <w:rsid w:val="2A45AD14"/>
    <w:rsid w:val="2A63522C"/>
    <w:rsid w:val="2A9C0672"/>
    <w:rsid w:val="2AD09670"/>
    <w:rsid w:val="2AD3FF13"/>
    <w:rsid w:val="2B23A108"/>
    <w:rsid w:val="2B45E4E0"/>
    <w:rsid w:val="2B79D3B0"/>
    <w:rsid w:val="2BA050CE"/>
    <w:rsid w:val="2C09F40D"/>
    <w:rsid w:val="2C348917"/>
    <w:rsid w:val="2C3D2910"/>
    <w:rsid w:val="2C8551C5"/>
    <w:rsid w:val="2C9794FE"/>
    <w:rsid w:val="2CC24FA4"/>
    <w:rsid w:val="2D20AC50"/>
    <w:rsid w:val="2DDF8A52"/>
    <w:rsid w:val="2DE2842B"/>
    <w:rsid w:val="2E074BBB"/>
    <w:rsid w:val="2E215F8F"/>
    <w:rsid w:val="2E5B41CA"/>
    <w:rsid w:val="2EE25771"/>
    <w:rsid w:val="2EF66A7F"/>
    <w:rsid w:val="2EFFBCBE"/>
    <w:rsid w:val="2F335B4E"/>
    <w:rsid w:val="2F7772AB"/>
    <w:rsid w:val="2F8448D9"/>
    <w:rsid w:val="2F90326E"/>
    <w:rsid w:val="2F9F1652"/>
    <w:rsid w:val="2FA9BE77"/>
    <w:rsid w:val="30E6C837"/>
    <w:rsid w:val="3132FAA8"/>
    <w:rsid w:val="31E9B1BC"/>
    <w:rsid w:val="32214DC6"/>
    <w:rsid w:val="324DD42F"/>
    <w:rsid w:val="328244C9"/>
    <w:rsid w:val="32B37ED4"/>
    <w:rsid w:val="32DEDE3D"/>
    <w:rsid w:val="3385AEFC"/>
    <w:rsid w:val="33F4EF8A"/>
    <w:rsid w:val="33FBDD95"/>
    <w:rsid w:val="3460D672"/>
    <w:rsid w:val="351499A9"/>
    <w:rsid w:val="3539B599"/>
    <w:rsid w:val="356EA367"/>
    <w:rsid w:val="3585DF7B"/>
    <w:rsid w:val="35BEE6DD"/>
    <w:rsid w:val="364BC5E6"/>
    <w:rsid w:val="36CC0D1D"/>
    <w:rsid w:val="371E7B16"/>
    <w:rsid w:val="377861BF"/>
    <w:rsid w:val="37BAB938"/>
    <w:rsid w:val="3845AEA6"/>
    <w:rsid w:val="385F9C88"/>
    <w:rsid w:val="38751C7A"/>
    <w:rsid w:val="38BE5D4B"/>
    <w:rsid w:val="38BFC2CF"/>
    <w:rsid w:val="38CE0A98"/>
    <w:rsid w:val="38D2DCEE"/>
    <w:rsid w:val="38FD17FF"/>
    <w:rsid w:val="390F369E"/>
    <w:rsid w:val="399B8BF9"/>
    <w:rsid w:val="39AB1860"/>
    <w:rsid w:val="3A000439"/>
    <w:rsid w:val="3A8F33F1"/>
    <w:rsid w:val="3AA0EA79"/>
    <w:rsid w:val="3AB0FB4C"/>
    <w:rsid w:val="3AFEB3A7"/>
    <w:rsid w:val="3B31AC9E"/>
    <w:rsid w:val="3B380D0E"/>
    <w:rsid w:val="3B39C4D2"/>
    <w:rsid w:val="3B3D5CCC"/>
    <w:rsid w:val="3B9C7204"/>
    <w:rsid w:val="3BC51769"/>
    <w:rsid w:val="3C4714C9"/>
    <w:rsid w:val="3C56BC09"/>
    <w:rsid w:val="3C99BDB2"/>
    <w:rsid w:val="3D5A327F"/>
    <w:rsid w:val="3D7FAE48"/>
    <w:rsid w:val="3E09AF39"/>
    <w:rsid w:val="3E227E49"/>
    <w:rsid w:val="3EB3E7A3"/>
    <w:rsid w:val="3EFCB82B"/>
    <w:rsid w:val="3F44F4ED"/>
    <w:rsid w:val="3FCAEFA2"/>
    <w:rsid w:val="40144E9A"/>
    <w:rsid w:val="40317AF3"/>
    <w:rsid w:val="403B57CF"/>
    <w:rsid w:val="404E7A81"/>
    <w:rsid w:val="406D1016"/>
    <w:rsid w:val="40CE0719"/>
    <w:rsid w:val="40F8D4E6"/>
    <w:rsid w:val="413A3913"/>
    <w:rsid w:val="41539346"/>
    <w:rsid w:val="41A92E8F"/>
    <w:rsid w:val="41E64290"/>
    <w:rsid w:val="42086CD3"/>
    <w:rsid w:val="425CF1C6"/>
    <w:rsid w:val="4344D6B7"/>
    <w:rsid w:val="439B1002"/>
    <w:rsid w:val="43A80BEC"/>
    <w:rsid w:val="43ADFF24"/>
    <w:rsid w:val="43C01974"/>
    <w:rsid w:val="44305244"/>
    <w:rsid w:val="44428DFB"/>
    <w:rsid w:val="4444A753"/>
    <w:rsid w:val="44481CBD"/>
    <w:rsid w:val="44516B79"/>
    <w:rsid w:val="446F82E2"/>
    <w:rsid w:val="4492B1EC"/>
    <w:rsid w:val="44A97FC0"/>
    <w:rsid w:val="44EC9BF5"/>
    <w:rsid w:val="45E05503"/>
    <w:rsid w:val="45F527F5"/>
    <w:rsid w:val="46B92589"/>
    <w:rsid w:val="46C5D17C"/>
    <w:rsid w:val="46D34091"/>
    <w:rsid w:val="46DBDDF6"/>
    <w:rsid w:val="478D5345"/>
    <w:rsid w:val="47ABFB0F"/>
    <w:rsid w:val="47C53D42"/>
    <w:rsid w:val="47D36585"/>
    <w:rsid w:val="47E614C1"/>
    <w:rsid w:val="48027A45"/>
    <w:rsid w:val="48196C32"/>
    <w:rsid w:val="48243CB7"/>
    <w:rsid w:val="482C4538"/>
    <w:rsid w:val="48470BC4"/>
    <w:rsid w:val="48C68B0A"/>
    <w:rsid w:val="49015286"/>
    <w:rsid w:val="49672A29"/>
    <w:rsid w:val="4A3A6EB1"/>
    <w:rsid w:val="4A4D113B"/>
    <w:rsid w:val="4AD8271C"/>
    <w:rsid w:val="4AE5565F"/>
    <w:rsid w:val="4AFD0C2F"/>
    <w:rsid w:val="4BA5E88C"/>
    <w:rsid w:val="4BAB1290"/>
    <w:rsid w:val="4BB6F03A"/>
    <w:rsid w:val="4BD28759"/>
    <w:rsid w:val="4BE1EB3E"/>
    <w:rsid w:val="4C1F495F"/>
    <w:rsid w:val="4C291DC6"/>
    <w:rsid w:val="4C52B68A"/>
    <w:rsid w:val="4CA952BF"/>
    <w:rsid w:val="4CC6B6AA"/>
    <w:rsid w:val="4CE55571"/>
    <w:rsid w:val="4CF37088"/>
    <w:rsid w:val="4D17AFC8"/>
    <w:rsid w:val="4D1C49A5"/>
    <w:rsid w:val="4D28747E"/>
    <w:rsid w:val="4D63ADFE"/>
    <w:rsid w:val="4DB52727"/>
    <w:rsid w:val="4DC69423"/>
    <w:rsid w:val="4E32B959"/>
    <w:rsid w:val="4E34ACF1"/>
    <w:rsid w:val="4E6ACE87"/>
    <w:rsid w:val="4E74E91B"/>
    <w:rsid w:val="4E7F923B"/>
    <w:rsid w:val="4E937E3B"/>
    <w:rsid w:val="4EB7FCAB"/>
    <w:rsid w:val="4ED0BB70"/>
    <w:rsid w:val="4ED2055B"/>
    <w:rsid w:val="4EFF7E5F"/>
    <w:rsid w:val="4F69FCC5"/>
    <w:rsid w:val="4F8F3F17"/>
    <w:rsid w:val="4FA3F7C1"/>
    <w:rsid w:val="4FA549E3"/>
    <w:rsid w:val="4FD767CC"/>
    <w:rsid w:val="4FEF6FC4"/>
    <w:rsid w:val="5009C223"/>
    <w:rsid w:val="501416FA"/>
    <w:rsid w:val="506C8BD1"/>
    <w:rsid w:val="50B33152"/>
    <w:rsid w:val="518BF646"/>
    <w:rsid w:val="51AC89DD"/>
    <w:rsid w:val="51B534FC"/>
    <w:rsid w:val="51BFB0AE"/>
    <w:rsid w:val="51C24223"/>
    <w:rsid w:val="51E39907"/>
    <w:rsid w:val="525444F3"/>
    <w:rsid w:val="5302ED23"/>
    <w:rsid w:val="5311A9C9"/>
    <w:rsid w:val="532F3832"/>
    <w:rsid w:val="5367D4A2"/>
    <w:rsid w:val="53833E68"/>
    <w:rsid w:val="53DD993E"/>
    <w:rsid w:val="53E5C067"/>
    <w:rsid w:val="545E40EC"/>
    <w:rsid w:val="549EBD84"/>
    <w:rsid w:val="54D5AB62"/>
    <w:rsid w:val="54DA100B"/>
    <w:rsid w:val="54E42A9F"/>
    <w:rsid w:val="551AA251"/>
    <w:rsid w:val="5526D497"/>
    <w:rsid w:val="55769593"/>
    <w:rsid w:val="55F7D254"/>
    <w:rsid w:val="561A6208"/>
    <w:rsid w:val="5639F6E2"/>
    <w:rsid w:val="563A8DE5"/>
    <w:rsid w:val="56C3C00E"/>
    <w:rsid w:val="56DBCD55"/>
    <w:rsid w:val="57506C77"/>
    <w:rsid w:val="57618358"/>
    <w:rsid w:val="57F1D325"/>
    <w:rsid w:val="58096951"/>
    <w:rsid w:val="583CCB5A"/>
    <w:rsid w:val="5853D6AA"/>
    <w:rsid w:val="5866AFB0"/>
    <w:rsid w:val="58CEE328"/>
    <w:rsid w:val="595C9DB2"/>
    <w:rsid w:val="59A9BE95"/>
    <w:rsid w:val="5A067C20"/>
    <w:rsid w:val="5A776ADA"/>
    <w:rsid w:val="5A7F8936"/>
    <w:rsid w:val="5B45E905"/>
    <w:rsid w:val="5B8F8DD8"/>
    <w:rsid w:val="5B90758C"/>
    <w:rsid w:val="5BCF82C6"/>
    <w:rsid w:val="5BFB7A31"/>
    <w:rsid w:val="5D1FBFE9"/>
    <w:rsid w:val="5D60BA61"/>
    <w:rsid w:val="5D66B508"/>
    <w:rsid w:val="5D7B0A3E"/>
    <w:rsid w:val="5E031153"/>
    <w:rsid w:val="5E2886F1"/>
    <w:rsid w:val="5E360322"/>
    <w:rsid w:val="5E601AEB"/>
    <w:rsid w:val="5E7CBA92"/>
    <w:rsid w:val="5EB1A6D3"/>
    <w:rsid w:val="5F067B86"/>
    <w:rsid w:val="5F992AD0"/>
    <w:rsid w:val="5FE1702B"/>
    <w:rsid w:val="603D174F"/>
    <w:rsid w:val="609E55CA"/>
    <w:rsid w:val="60B16647"/>
    <w:rsid w:val="60F523AE"/>
    <w:rsid w:val="613ABCAD"/>
    <w:rsid w:val="620054D9"/>
    <w:rsid w:val="62088A8A"/>
    <w:rsid w:val="623EC44A"/>
    <w:rsid w:val="623F52A6"/>
    <w:rsid w:val="636AADB7"/>
    <w:rsid w:val="63874CAA"/>
    <w:rsid w:val="63BF261D"/>
    <w:rsid w:val="63D264C5"/>
    <w:rsid w:val="63D5F68C"/>
    <w:rsid w:val="63D85912"/>
    <w:rsid w:val="64157B90"/>
    <w:rsid w:val="64201D20"/>
    <w:rsid w:val="642B3D1C"/>
    <w:rsid w:val="6447973F"/>
    <w:rsid w:val="65231D0B"/>
    <w:rsid w:val="6571C6ED"/>
    <w:rsid w:val="6594ACD5"/>
    <w:rsid w:val="6598FD01"/>
    <w:rsid w:val="65B39F47"/>
    <w:rsid w:val="65E33C9F"/>
    <w:rsid w:val="6630BB54"/>
    <w:rsid w:val="6649AA8F"/>
    <w:rsid w:val="66B0C7CE"/>
    <w:rsid w:val="66B3EEC5"/>
    <w:rsid w:val="67122F7B"/>
    <w:rsid w:val="674F6FA8"/>
    <w:rsid w:val="67CD14AC"/>
    <w:rsid w:val="6803D603"/>
    <w:rsid w:val="685871D1"/>
    <w:rsid w:val="6881CBA8"/>
    <w:rsid w:val="6886450C"/>
    <w:rsid w:val="68A8BB7D"/>
    <w:rsid w:val="68E01CCA"/>
    <w:rsid w:val="6904D07C"/>
    <w:rsid w:val="6913500E"/>
    <w:rsid w:val="694C34C4"/>
    <w:rsid w:val="6950EC6A"/>
    <w:rsid w:val="6971928C"/>
    <w:rsid w:val="6A399498"/>
    <w:rsid w:val="6A49FE68"/>
    <w:rsid w:val="6A51C3B5"/>
    <w:rsid w:val="6A9E3F8E"/>
    <w:rsid w:val="6AC494BE"/>
    <w:rsid w:val="6B0C6826"/>
    <w:rsid w:val="6B1FD2A6"/>
    <w:rsid w:val="6B6B8239"/>
    <w:rsid w:val="6B7CFC43"/>
    <w:rsid w:val="6B80537D"/>
    <w:rsid w:val="6B90605F"/>
    <w:rsid w:val="6B949A87"/>
    <w:rsid w:val="6B964473"/>
    <w:rsid w:val="6C03EE59"/>
    <w:rsid w:val="6C1662B8"/>
    <w:rsid w:val="6C7210F9"/>
    <w:rsid w:val="6C8EA55E"/>
    <w:rsid w:val="6C9C00C9"/>
    <w:rsid w:val="6C9E135F"/>
    <w:rsid w:val="6CEF6F92"/>
    <w:rsid w:val="6D60EB55"/>
    <w:rsid w:val="6D670F1A"/>
    <w:rsid w:val="6D81361C"/>
    <w:rsid w:val="6D896477"/>
    <w:rsid w:val="6DB602A8"/>
    <w:rsid w:val="6DBCAA63"/>
    <w:rsid w:val="6DC6D8D8"/>
    <w:rsid w:val="6DFA88AD"/>
    <w:rsid w:val="6E5D3C0C"/>
    <w:rsid w:val="6E5D9494"/>
    <w:rsid w:val="6EA02D3E"/>
    <w:rsid w:val="6ECE1806"/>
    <w:rsid w:val="6F1B2038"/>
    <w:rsid w:val="6F2534D8"/>
    <w:rsid w:val="6F7BCB45"/>
    <w:rsid w:val="6FB64B49"/>
    <w:rsid w:val="6FFB68C6"/>
    <w:rsid w:val="701A5DE7"/>
    <w:rsid w:val="702533E3"/>
    <w:rsid w:val="70A1DD27"/>
    <w:rsid w:val="70F3B3AD"/>
    <w:rsid w:val="71077E3A"/>
    <w:rsid w:val="71190112"/>
    <w:rsid w:val="716FE866"/>
    <w:rsid w:val="71918FEC"/>
    <w:rsid w:val="71C2ECBB"/>
    <w:rsid w:val="721BA3BA"/>
    <w:rsid w:val="721D6286"/>
    <w:rsid w:val="724AF432"/>
    <w:rsid w:val="7280B0B4"/>
    <w:rsid w:val="7297BCA6"/>
    <w:rsid w:val="72E1551E"/>
    <w:rsid w:val="73070988"/>
    <w:rsid w:val="732AE48B"/>
    <w:rsid w:val="738C69BE"/>
    <w:rsid w:val="73FF6396"/>
    <w:rsid w:val="74139541"/>
    <w:rsid w:val="7436140B"/>
    <w:rsid w:val="75166D84"/>
    <w:rsid w:val="75887C3D"/>
    <w:rsid w:val="759344DA"/>
    <w:rsid w:val="762874E7"/>
    <w:rsid w:val="76391941"/>
    <w:rsid w:val="764DEA85"/>
    <w:rsid w:val="76D81126"/>
    <w:rsid w:val="76DCFEBC"/>
    <w:rsid w:val="76E03528"/>
    <w:rsid w:val="77AD5FD0"/>
    <w:rsid w:val="77F01FA1"/>
    <w:rsid w:val="7800D170"/>
    <w:rsid w:val="78539C3E"/>
    <w:rsid w:val="785D5AC4"/>
    <w:rsid w:val="787C0589"/>
    <w:rsid w:val="78A4B0F9"/>
    <w:rsid w:val="78F41F26"/>
    <w:rsid w:val="79972BC0"/>
    <w:rsid w:val="79CC15CD"/>
    <w:rsid w:val="7A429C20"/>
    <w:rsid w:val="7A463050"/>
    <w:rsid w:val="7A7BCFEE"/>
    <w:rsid w:val="7A9AE105"/>
    <w:rsid w:val="7AB50320"/>
    <w:rsid w:val="7AEA514D"/>
    <w:rsid w:val="7AEB8FE6"/>
    <w:rsid w:val="7B0A07A4"/>
    <w:rsid w:val="7B8210CC"/>
    <w:rsid w:val="7B9E39EC"/>
    <w:rsid w:val="7BB3A64B"/>
    <w:rsid w:val="7BB8C5B7"/>
    <w:rsid w:val="7C405E5A"/>
    <w:rsid w:val="7C4125F0"/>
    <w:rsid w:val="7C9EDA1A"/>
    <w:rsid w:val="7CB19501"/>
    <w:rsid w:val="7CCBBC2F"/>
    <w:rsid w:val="7CFC6C14"/>
    <w:rsid w:val="7D5904BF"/>
    <w:rsid w:val="7D5FAACC"/>
    <w:rsid w:val="7D9494D9"/>
    <w:rsid w:val="7DC589C4"/>
    <w:rsid w:val="7DD281C7"/>
    <w:rsid w:val="7E3427E9"/>
    <w:rsid w:val="7E3AD816"/>
    <w:rsid w:val="7E40B62C"/>
    <w:rsid w:val="7E5BFC5A"/>
    <w:rsid w:val="7E888A9D"/>
    <w:rsid w:val="7E88A178"/>
    <w:rsid w:val="7EA47486"/>
    <w:rsid w:val="7EEA4C99"/>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8C0D9A56-787E-4EB8-BB1A-663846A2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7"/>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paragraph" w:customStyle="1" w:styleId="xmsonormal">
    <w:name w:val="x_msonormal"/>
    <w:basedOn w:val="Normal"/>
    <w:rsid w:val="00D43FAE"/>
    <w:pPr>
      <w:spacing w:after="0"/>
    </w:pPr>
    <w:rPr>
      <w:rFonts w:ascii="Aptos" w:hAnsi="Aptos" w:cs="Apto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1765">
      <w:bodyDiv w:val="1"/>
      <w:marLeft w:val="0"/>
      <w:marRight w:val="0"/>
      <w:marTop w:val="0"/>
      <w:marBottom w:val="0"/>
      <w:divBdr>
        <w:top w:val="none" w:sz="0" w:space="0" w:color="auto"/>
        <w:left w:val="none" w:sz="0" w:space="0" w:color="auto"/>
        <w:bottom w:val="none" w:sz="0" w:space="0" w:color="auto"/>
        <w:right w:val="none" w:sz="0" w:space="0" w:color="auto"/>
      </w:divBdr>
    </w:div>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nk.gov.ua/ua/markets/exchangerat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mission.europa.eu/funding-tenders/procedures-guidelines-tenders/information-contractors-and-beneficiaries/exchange-rate-inforeuro_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en/regions/europe/ukraine/tender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7d30a7d-b41a-4785-a964-e05815a9f29f">
      <UserInfo>
        <DisplayName>Feiereisen, Philipp GIZ</DisplayName>
        <AccountId>7</AccountId>
        <AccountType/>
      </UserInfo>
    </SharedWithUsers>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DB33A4094765C43842BF75870C6DB50" ma:contentTypeVersion="18" ma:contentTypeDescription="Ein neues Dokument erstellen." ma:contentTypeScope="" ma:versionID="3bf8efcd7ea7a8aead5801839ab264a1">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3ea4f887aaeda1bdf82c3f7242c43177"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customXml/itemProps2.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3.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47d30a7d-b41a-4785-a964-e05815a9f29f"/>
    <ds:schemaRef ds:uri="04ac4ecf-9708-45f7-9d64-eaef3bff4f59"/>
  </ds:schemaRefs>
</ds:datastoreItem>
</file>

<file path=customXml/itemProps4.xml><?xml version="1.0" encoding="utf-8"?>
<ds:datastoreItem xmlns:ds="http://schemas.openxmlformats.org/officeDocument/2006/customXml" ds:itemID="{5CC17926-CD7E-496C-B7C3-DE219C41D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ac4ecf-9708-45f7-9d64-eaef3bff4f59"/>
    <ds:schemaRef ds:uri="47d30a7d-b41a-4785-a964-e05815a9f2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14</Pages>
  <Words>22719</Words>
  <Characters>12951</Characters>
  <Application>Microsoft Office Word</Application>
  <DocSecurity>0</DocSecurity>
  <Lines>107</Lines>
  <Paragraphs>71</Paragraphs>
  <ScaleCrop>false</ScaleCrop>
  <HeadingPairs>
    <vt:vector size="2" baseType="variant">
      <vt:variant>
        <vt:lpstr>Title</vt:lpstr>
      </vt:variant>
      <vt:variant>
        <vt:i4>1</vt:i4>
      </vt:variant>
    </vt:vector>
  </HeadingPairs>
  <TitlesOfParts>
    <vt:vector size="1" baseType="lpstr">
      <vt:lpstr>Form 41-14-2, Leistungsbeschreibung (ToR) für die Beschaffung von Dienstleistungen unterhalb des EU Schwellenwertes, englisch, Stand Januar 2023</vt:lpstr>
    </vt:vector>
  </TitlesOfParts>
  <Company>GIZ GmbH</Company>
  <LinksUpToDate>false</LinksUpToDate>
  <CharactersWithSpaces>35599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Grynov, Sergii GIZ UA</cp:lastModifiedBy>
  <cp:revision>14</cp:revision>
  <cp:lastPrinted>2018-06-02T23:44:00Z</cp:lastPrinted>
  <dcterms:created xsi:type="dcterms:W3CDTF">2026-01-02T15:00:00Z</dcterms:created>
  <dcterms:modified xsi:type="dcterms:W3CDTF">2026-01-05T14:13:00Z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0x010100CDB33A4094765C43842BF75870C6DB50</vt:lpwstr>
  </property>
  <property fmtid="{D5CDD505-2E9C-101B-9397-08002B2CF9AE}" pid="3" name="GrammarlyDocumentId">
    <vt:lpwstr>3f29b0b2de980551eb7c3c2b39c93d64ac6136179f68576b948736533e647aff</vt:lpwstr>
  </property>
  <property fmtid="{D5CDD505-2E9C-101B-9397-08002B2CF9AE}" pid="4" name="MediaServiceImageTags">
    <vt:lpwstr/>
  </property>
</Properties>
</file>